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656B1">
      <w:pPr>
        <w:spacing w:after="160" w:line="540" w:lineRule="exact"/>
        <w:rPr>
          <w:rStyle w:val="24"/>
          <w:rFonts w:hint="eastAsia"/>
        </w:rPr>
      </w:pPr>
    </w:p>
    <w:p w14:paraId="3DD88677">
      <w:pPr>
        <w:spacing w:after="160" w:line="540" w:lineRule="exact"/>
        <w:jc w:val="center"/>
        <w:rPr>
          <w:rFonts w:ascii="Times New Roman" w:hAnsi="Times New Roman" w:eastAsia="华文中宋" w:cs="Times New Roman"/>
          <w:sz w:val="44"/>
          <w:szCs w:val="44"/>
        </w:rPr>
      </w:pPr>
    </w:p>
    <w:p w14:paraId="36AB511F">
      <w:pPr>
        <w:spacing w:after="160" w:line="540" w:lineRule="exact"/>
        <w:jc w:val="center"/>
        <w:rPr>
          <w:rFonts w:ascii="Times New Roman" w:hAnsi="Times New Roman" w:eastAsia="华文中宋" w:cs="Times New Roman"/>
          <w:sz w:val="44"/>
          <w:szCs w:val="44"/>
        </w:rPr>
      </w:pPr>
    </w:p>
    <w:p w14:paraId="6553D1CD">
      <w:pPr>
        <w:spacing w:after="160" w:line="540" w:lineRule="exact"/>
        <w:jc w:val="center"/>
        <w:rPr>
          <w:rFonts w:ascii="Times New Roman" w:hAnsi="Times New Roman" w:eastAsia="华文中宋" w:cs="Times New Roman"/>
          <w:sz w:val="44"/>
          <w:szCs w:val="44"/>
        </w:rPr>
      </w:pPr>
    </w:p>
    <w:p w14:paraId="5BA48082">
      <w:pPr>
        <w:spacing w:after="160" w:line="540" w:lineRule="exact"/>
        <w:jc w:val="center"/>
        <w:rPr>
          <w:rFonts w:ascii="Times New Roman" w:hAnsi="Times New Roman" w:eastAsia="华文中宋" w:cs="Times New Roman"/>
          <w:sz w:val="44"/>
          <w:szCs w:val="44"/>
        </w:rPr>
      </w:pPr>
    </w:p>
    <w:p w14:paraId="50E2EFAA">
      <w:pPr>
        <w:spacing w:after="160" w:line="540" w:lineRule="exact"/>
        <w:jc w:val="center"/>
        <w:rPr>
          <w:rFonts w:ascii="Times New Roman" w:hAnsi="Times New Roman" w:eastAsia="华文中宋" w:cs="Times New Roman"/>
          <w:sz w:val="44"/>
          <w:szCs w:val="44"/>
        </w:rPr>
      </w:pPr>
    </w:p>
    <w:p w14:paraId="2D1130F0">
      <w:pPr>
        <w:spacing w:after="160" w:line="540" w:lineRule="exact"/>
        <w:jc w:val="center"/>
        <w:rPr>
          <w:rFonts w:ascii="Times New Roman" w:hAnsi="Times New Roman" w:eastAsia="华文中宋" w:cs="Times New Roman"/>
          <w:sz w:val="44"/>
          <w:szCs w:val="44"/>
        </w:rPr>
      </w:pPr>
    </w:p>
    <w:p w14:paraId="078F3B69">
      <w:pPr>
        <w:spacing w:after="160" w:line="5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松江区节能降碳“十五五”规划</w:t>
      </w:r>
    </w:p>
    <w:p w14:paraId="1CE6E4EB">
      <w:pPr>
        <w:spacing w:after="160" w:line="54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w:t>
      </w:r>
      <w:r>
        <w:rPr>
          <w:rFonts w:hint="eastAsia" w:ascii="方正小标宋简体" w:hAnsi="方正小标宋简体" w:eastAsia="方正小标宋简体" w:cs="方正小标宋简体"/>
          <w:bCs/>
          <w:sz w:val="40"/>
          <w:szCs w:val="40"/>
          <w:lang w:eastAsia="zh-CN"/>
        </w:rPr>
        <w:t>草案</w:t>
      </w:r>
      <w:bookmarkStart w:id="85" w:name="_GoBack"/>
      <w:bookmarkEnd w:id="85"/>
      <w:r>
        <w:rPr>
          <w:rFonts w:hint="eastAsia" w:ascii="方正小标宋简体" w:hAnsi="方正小标宋简体" w:eastAsia="方正小标宋简体" w:cs="方正小标宋简体"/>
          <w:bCs/>
          <w:sz w:val="40"/>
          <w:szCs w:val="40"/>
        </w:rPr>
        <w:t>）</w:t>
      </w:r>
    </w:p>
    <w:p w14:paraId="60E8C092">
      <w:pPr>
        <w:spacing w:after="160" w:line="540" w:lineRule="exact"/>
        <w:rPr>
          <w:rFonts w:ascii="Times New Roman" w:hAnsi="Times New Roman" w:cs="Times New Roman"/>
        </w:rPr>
      </w:pPr>
    </w:p>
    <w:p w14:paraId="5C307987">
      <w:pPr>
        <w:spacing w:after="160" w:line="540" w:lineRule="exact"/>
        <w:rPr>
          <w:rFonts w:ascii="Times New Roman" w:hAnsi="Times New Roman" w:cs="Times New Roman"/>
        </w:rPr>
      </w:pPr>
    </w:p>
    <w:p w14:paraId="4AB31DBD">
      <w:pPr>
        <w:spacing w:after="160" w:line="540" w:lineRule="exact"/>
        <w:rPr>
          <w:rFonts w:ascii="Times New Roman" w:hAnsi="Times New Roman" w:cs="Times New Roman"/>
        </w:rPr>
      </w:pPr>
    </w:p>
    <w:p w14:paraId="5488B280">
      <w:pPr>
        <w:spacing w:after="160" w:line="540" w:lineRule="exact"/>
        <w:rPr>
          <w:rFonts w:ascii="Times New Roman" w:hAnsi="Times New Roman" w:cs="Times New Roman"/>
        </w:rPr>
      </w:pPr>
    </w:p>
    <w:p w14:paraId="1B34C659">
      <w:pPr>
        <w:spacing w:after="160" w:line="540" w:lineRule="exact"/>
        <w:rPr>
          <w:rFonts w:ascii="Times New Roman" w:hAnsi="Times New Roman" w:cs="Times New Roman"/>
        </w:rPr>
      </w:pPr>
    </w:p>
    <w:p w14:paraId="52AA02BF">
      <w:pPr>
        <w:spacing w:after="160" w:line="540" w:lineRule="exact"/>
        <w:rPr>
          <w:rFonts w:ascii="Times New Roman" w:hAnsi="Times New Roman" w:cs="Times New Roman"/>
        </w:rPr>
      </w:pPr>
    </w:p>
    <w:p w14:paraId="5F383EFD">
      <w:pPr>
        <w:spacing w:after="160" w:line="540" w:lineRule="exact"/>
        <w:rPr>
          <w:rFonts w:ascii="Times New Roman" w:hAnsi="Times New Roman" w:cs="Times New Roman"/>
        </w:rPr>
      </w:pPr>
    </w:p>
    <w:p w14:paraId="0BD55571">
      <w:pPr>
        <w:spacing w:after="160" w:line="540" w:lineRule="exact"/>
        <w:contextualSpacing/>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上海市松江区发展和改革委员会</w:t>
      </w:r>
    </w:p>
    <w:p w14:paraId="123B8840">
      <w:pPr>
        <w:spacing w:after="160" w:line="540" w:lineRule="exact"/>
        <w:contextualSpacing/>
        <w:jc w:val="center"/>
        <w:rPr>
          <w:rFonts w:hint="eastAsia" w:ascii="楷体_GB2312" w:hAnsi="楷体_GB2312" w:eastAsia="楷体_GB2312" w:cs="楷体_GB2312"/>
          <w:sz w:val="32"/>
          <w:szCs w:val="32"/>
        </w:rPr>
        <w:sectPr>
          <w:footerReference r:id="rId3" w:type="default"/>
          <w:pgSz w:w="11906" w:h="16838"/>
          <w:pgMar w:top="2098" w:right="1474" w:bottom="1984" w:left="1587" w:header="851" w:footer="992" w:gutter="0"/>
          <w:pgNumType w:start="1"/>
          <w:cols w:space="425" w:num="1"/>
          <w:docGrid w:type="lines" w:linePitch="312" w:charSpace="0"/>
        </w:sectPr>
      </w:pPr>
      <w:r>
        <w:rPr>
          <w:rFonts w:hint="eastAsia" w:ascii="楷体_GB2312" w:hAnsi="楷体_GB2312" w:eastAsia="楷体_GB2312" w:cs="楷体_GB2312"/>
          <w:sz w:val="32"/>
          <w:szCs w:val="32"/>
        </w:rPr>
        <w:t>2026年4月</w:t>
      </w:r>
    </w:p>
    <w:sdt>
      <w:sdtPr>
        <w:rPr>
          <w:rFonts w:ascii="Times New Roman" w:hAnsi="Times New Roman" w:cs="Times New Roman" w:eastAsiaTheme="minorEastAsia"/>
          <w:color w:val="auto"/>
          <w:kern w:val="2"/>
          <w:lang w:val="zh-CN"/>
          <w14:ligatures w14:val="standardContextual"/>
        </w:rPr>
        <w:id w:val="1401638447"/>
        <w:docPartObj>
          <w:docPartGallery w:val="Table of Contents"/>
          <w:docPartUnique/>
        </w:docPartObj>
      </w:sdtPr>
      <w:sdtEndPr>
        <w:rPr>
          <w:rFonts w:ascii="Times New Roman" w:hAnsi="Times New Roman" w:cs="Times New Roman" w:eastAsiaTheme="minorEastAsia"/>
          <w:b/>
          <w:bCs/>
          <w:color w:val="auto"/>
          <w:kern w:val="2"/>
          <w:lang w:val="zh-CN"/>
          <w14:ligatures w14:val="standardContextual"/>
        </w:rPr>
      </w:sdtEndPr>
      <w:sdtContent>
        <w:p w14:paraId="10E6BB92">
          <w:pPr>
            <w:pStyle w:val="48"/>
            <w:spacing w:line="560" w:lineRule="exact"/>
            <w:jc w:val="center"/>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sz w:val="40"/>
              <w:szCs w:val="40"/>
              <w:lang w:val="zh-CN"/>
              <w14:textFill>
                <w14:solidFill>
                  <w14:schemeClr w14:val="tx1"/>
                </w14:solidFill>
              </w14:textFill>
            </w:rPr>
            <w:t>目录</w:t>
          </w:r>
        </w:p>
        <w:p w14:paraId="527F6AF5">
          <w:pPr>
            <w:pStyle w:val="14"/>
            <w:tabs>
              <w:tab w:val="right" w:leader="dot" w:pos="8845"/>
              <w:tab w:val="clear" w:pos="8296"/>
            </w:tabs>
            <w:spacing w:after="0" w:line="520" w:lineRule="exact"/>
            <w:rPr>
              <w:rFonts w:hint="eastAsia"/>
            </w:rPr>
          </w:pPr>
          <w:r>
            <w:fldChar w:fldCharType="begin"/>
          </w:r>
          <w:r>
            <w:instrText xml:space="preserve">TOC \o "1-2" \h \u </w:instrText>
          </w:r>
          <w:r>
            <w:fldChar w:fldCharType="separate"/>
          </w:r>
          <w:r>
            <w:fldChar w:fldCharType="begin"/>
          </w:r>
          <w:r>
            <w:instrText xml:space="preserve"> HYPERLINK \l "_Toc30952" </w:instrText>
          </w:r>
          <w:r>
            <w:fldChar w:fldCharType="separate"/>
          </w:r>
          <w:r>
            <w:rPr>
              <w:rFonts w:ascii="Times New Roman" w:hAnsi="Times New Roman"/>
              <w:bCs/>
            </w:rPr>
            <w:t>一、发展基础</w:t>
          </w:r>
          <w:r>
            <w:rPr>
              <w:rFonts w:hint="eastAsia" w:asciiTheme="minorHAnsi" w:hAnsiTheme="minorHAnsi" w:eastAsiaTheme="minorEastAsia" w:cstheme="minorBidi"/>
              <w:szCs w:val="36"/>
            </w:rPr>
            <w:tab/>
          </w:r>
          <w:r>
            <w:fldChar w:fldCharType="begin"/>
          </w:r>
          <w:r>
            <w:instrText xml:space="preserve"> PAGEREF _Toc30952 \h </w:instrText>
          </w:r>
          <w:r>
            <w:fldChar w:fldCharType="separate"/>
          </w:r>
          <w:r>
            <w:t>1</w:t>
          </w:r>
          <w:r>
            <w:fldChar w:fldCharType="end"/>
          </w:r>
          <w:r>
            <w:fldChar w:fldCharType="end"/>
          </w:r>
        </w:p>
        <w:p w14:paraId="7D37134A">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after="0" w:line="520" w:lineRule="exact"/>
            <w:textAlignment w:val="auto"/>
            <w:rPr>
              <w:rFonts w:hint="eastAsia"/>
            </w:rPr>
          </w:pPr>
          <w:r>
            <w:fldChar w:fldCharType="begin"/>
          </w:r>
          <w:r>
            <w:instrText xml:space="preserve"> HYPERLINK \l "_Toc10425" </w:instrText>
          </w:r>
          <w:r>
            <w:fldChar w:fldCharType="separate"/>
          </w:r>
          <w:r>
            <w:rPr>
              <w:rFonts w:hint="eastAsia"/>
            </w:rPr>
            <w:t>二、发展环境</w:t>
          </w:r>
          <w:r>
            <w:rPr>
              <w:rFonts w:hint="eastAsia" w:asciiTheme="minorHAnsi" w:hAnsiTheme="minorHAnsi" w:eastAsiaTheme="minorEastAsia" w:cstheme="minorBidi"/>
              <w:szCs w:val="36"/>
            </w:rPr>
            <w:tab/>
          </w:r>
          <w:r>
            <w:fldChar w:fldCharType="begin"/>
          </w:r>
          <w:r>
            <w:instrText xml:space="preserve"> PAGEREF _Toc10425 \h </w:instrText>
          </w:r>
          <w:r>
            <w:fldChar w:fldCharType="separate"/>
          </w:r>
          <w:r>
            <w:t>3</w:t>
          </w:r>
          <w:r>
            <w:fldChar w:fldCharType="end"/>
          </w:r>
          <w:r>
            <w:fldChar w:fldCharType="end"/>
          </w:r>
        </w:p>
        <w:p w14:paraId="44EBF95D">
          <w:pPr>
            <w:pStyle w:val="14"/>
            <w:tabs>
              <w:tab w:val="right" w:leader="dot" w:pos="8845"/>
              <w:tab w:val="clear" w:pos="8296"/>
            </w:tabs>
            <w:spacing w:after="0" w:line="520" w:lineRule="exact"/>
            <w:rPr>
              <w:rFonts w:hint="eastAsia"/>
            </w:rPr>
          </w:pPr>
          <w:r>
            <w:fldChar w:fldCharType="begin"/>
          </w:r>
          <w:r>
            <w:instrText xml:space="preserve"> HYPERLINK \l "_Toc805" </w:instrText>
          </w:r>
          <w:r>
            <w:fldChar w:fldCharType="separate"/>
          </w:r>
          <w:r>
            <w:rPr>
              <w:rFonts w:hint="eastAsia"/>
            </w:rPr>
            <w:t>三、总体要求</w:t>
          </w:r>
          <w:r>
            <w:rPr>
              <w:rFonts w:hint="eastAsia" w:asciiTheme="minorHAnsi" w:hAnsiTheme="minorHAnsi" w:eastAsiaTheme="minorEastAsia" w:cstheme="minorBidi"/>
              <w:szCs w:val="36"/>
            </w:rPr>
            <w:tab/>
          </w:r>
          <w:r>
            <w:fldChar w:fldCharType="begin"/>
          </w:r>
          <w:r>
            <w:instrText xml:space="preserve"> PAGEREF _Toc805 \h </w:instrText>
          </w:r>
          <w:r>
            <w:fldChar w:fldCharType="separate"/>
          </w:r>
          <w:r>
            <w:t>4</w:t>
          </w:r>
          <w:r>
            <w:fldChar w:fldCharType="end"/>
          </w:r>
          <w:r>
            <w:fldChar w:fldCharType="end"/>
          </w:r>
        </w:p>
        <w:p w14:paraId="2BCA4BD0">
          <w:pPr>
            <w:pStyle w:val="16"/>
            <w:tabs>
              <w:tab w:val="right" w:leader="dot" w:pos="8845"/>
            </w:tabs>
            <w:spacing w:line="520" w:lineRule="exact"/>
            <w:rPr>
              <w:rFonts w:hint="eastAsia"/>
              <w:sz w:val="32"/>
              <w:szCs w:val="36"/>
            </w:rPr>
          </w:pPr>
          <w:r>
            <w:fldChar w:fldCharType="begin"/>
          </w:r>
          <w:r>
            <w:instrText xml:space="preserve"> HYPERLINK \l "_Toc15862" </w:instrText>
          </w:r>
          <w:r>
            <w:fldChar w:fldCharType="separate"/>
          </w:r>
          <w:r>
            <w:rPr>
              <w:rFonts w:hint="eastAsia" w:ascii="楷体_GB2312" w:hAnsi="楷体_GB2312" w:eastAsia="楷体_GB2312" w:cs="楷体_GB2312"/>
              <w:sz w:val="32"/>
              <w:szCs w:val="48"/>
              <w14:ligatures w14:val="none"/>
            </w:rPr>
            <w:t>（一）指导思想</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_Toc15862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4</w:t>
          </w:r>
          <w:r>
            <w:rPr>
              <w:rFonts w:hint="eastAsia" w:ascii="楷体_GB2312" w:hAnsi="楷体_GB2312" w:eastAsia="楷体_GB2312" w:cs="楷体_GB2312"/>
              <w:sz w:val="32"/>
              <w:szCs w:val="36"/>
            </w:rPr>
            <w:fldChar w:fldCharType="end"/>
          </w:r>
          <w:r>
            <w:rPr>
              <w:sz w:val="32"/>
              <w:szCs w:val="36"/>
            </w:rPr>
            <w:fldChar w:fldCharType="end"/>
          </w:r>
        </w:p>
        <w:p w14:paraId="0ACB3B0A">
          <w:pPr>
            <w:pStyle w:val="16"/>
            <w:tabs>
              <w:tab w:val="right" w:leader="dot" w:pos="8845"/>
            </w:tabs>
            <w:spacing w:line="520" w:lineRule="exact"/>
            <w:rPr>
              <w:rFonts w:hint="eastAsia"/>
              <w:sz w:val="32"/>
              <w:szCs w:val="36"/>
            </w:rPr>
          </w:pPr>
          <w:r>
            <w:fldChar w:fldCharType="begin"/>
          </w:r>
          <w:r>
            <w:instrText xml:space="preserve"> HYPERLINK \l "_Toc22579" </w:instrText>
          </w:r>
          <w:r>
            <w:fldChar w:fldCharType="separate"/>
          </w:r>
          <w:r>
            <w:rPr>
              <w:rFonts w:hint="eastAsia" w:ascii="楷体_GB2312" w:hAnsi="楷体_GB2312" w:eastAsia="楷体_GB2312" w:cs="楷体_GB2312"/>
              <w:sz w:val="32"/>
              <w:szCs w:val="48"/>
              <w14:ligatures w14:val="none"/>
            </w:rPr>
            <w:t>（二）基本原则</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_Toc22579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4</w:t>
          </w:r>
          <w:r>
            <w:rPr>
              <w:rFonts w:hint="eastAsia" w:ascii="楷体_GB2312" w:hAnsi="楷体_GB2312" w:eastAsia="楷体_GB2312" w:cs="楷体_GB2312"/>
              <w:sz w:val="32"/>
              <w:szCs w:val="36"/>
            </w:rPr>
            <w:fldChar w:fldCharType="end"/>
          </w:r>
          <w:r>
            <w:rPr>
              <w:sz w:val="32"/>
              <w:szCs w:val="36"/>
            </w:rPr>
            <w:fldChar w:fldCharType="end"/>
          </w:r>
        </w:p>
        <w:p w14:paraId="31A4A542">
          <w:pPr>
            <w:pStyle w:val="16"/>
            <w:tabs>
              <w:tab w:val="right" w:leader="dot" w:pos="8845"/>
            </w:tabs>
            <w:spacing w:line="520" w:lineRule="exact"/>
            <w:rPr>
              <w:rFonts w:hint="eastAsia"/>
            </w:rPr>
          </w:pPr>
          <w:r>
            <w:fldChar w:fldCharType="begin"/>
          </w:r>
          <w:r>
            <w:instrText xml:space="preserve"> HYPERLINK \l "_Toc28318" </w:instrText>
          </w:r>
          <w:r>
            <w:fldChar w:fldCharType="separate"/>
          </w:r>
          <w:r>
            <w:rPr>
              <w:rFonts w:hint="eastAsia" w:ascii="楷体_GB2312" w:hAnsi="楷体_GB2312" w:eastAsia="楷体_GB2312" w:cs="楷体_GB2312"/>
              <w:sz w:val="32"/>
              <w:szCs w:val="48"/>
              <w14:ligatures w14:val="none"/>
            </w:rPr>
            <w:t>（三）发展目标和主要指标</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_Toc28318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5</w:t>
          </w:r>
          <w:r>
            <w:rPr>
              <w:rFonts w:hint="eastAsia" w:ascii="楷体_GB2312" w:hAnsi="楷体_GB2312" w:eastAsia="楷体_GB2312" w:cs="楷体_GB2312"/>
              <w:sz w:val="32"/>
              <w:szCs w:val="36"/>
            </w:rPr>
            <w:fldChar w:fldCharType="end"/>
          </w:r>
          <w:r>
            <w:rPr>
              <w:sz w:val="32"/>
              <w:szCs w:val="36"/>
            </w:rPr>
            <w:fldChar w:fldCharType="end"/>
          </w:r>
        </w:p>
        <w:p w14:paraId="1464986A">
          <w:pPr>
            <w:pStyle w:val="14"/>
            <w:tabs>
              <w:tab w:val="right" w:leader="dot" w:pos="8845"/>
              <w:tab w:val="clear" w:pos="8296"/>
            </w:tabs>
            <w:spacing w:after="0" w:line="520" w:lineRule="exact"/>
            <w:rPr>
              <w:rFonts w:hint="eastAsia"/>
            </w:rPr>
          </w:pPr>
          <w:r>
            <w:fldChar w:fldCharType="begin"/>
          </w:r>
          <w:r>
            <w:instrText xml:space="preserve"> HYPERLINK \l "_Toc27753" </w:instrText>
          </w:r>
          <w:r>
            <w:fldChar w:fldCharType="separate"/>
          </w:r>
          <w:r>
            <w:rPr>
              <w:rFonts w:hint="eastAsia"/>
            </w:rPr>
            <w:t>四、主要任务</w:t>
          </w:r>
          <w:r>
            <w:rPr>
              <w:rFonts w:hint="eastAsia" w:asciiTheme="minorHAnsi" w:hAnsiTheme="minorHAnsi" w:eastAsiaTheme="minorEastAsia" w:cstheme="minorBidi"/>
              <w:szCs w:val="36"/>
            </w:rPr>
            <w:tab/>
          </w:r>
          <w:r>
            <w:fldChar w:fldCharType="begin"/>
          </w:r>
          <w:r>
            <w:instrText xml:space="preserve"> PAGEREF _Toc27753 \h </w:instrText>
          </w:r>
          <w:r>
            <w:fldChar w:fldCharType="separate"/>
          </w:r>
          <w:r>
            <w:t>6</w:t>
          </w:r>
          <w:r>
            <w:fldChar w:fldCharType="end"/>
          </w:r>
          <w:r>
            <w:fldChar w:fldCharType="end"/>
          </w:r>
        </w:p>
        <w:p w14:paraId="7237E043">
          <w:pPr>
            <w:pStyle w:val="16"/>
            <w:tabs>
              <w:tab w:val="right" w:leader="dot" w:pos="8845"/>
            </w:tabs>
            <w:spacing w:line="520" w:lineRule="exact"/>
            <w:rPr>
              <w:rFonts w:hint="eastAsia"/>
              <w:sz w:val="32"/>
              <w:szCs w:val="36"/>
            </w:rPr>
          </w:pPr>
          <w:r>
            <w:fldChar w:fldCharType="begin"/>
          </w:r>
          <w:r>
            <w:instrText xml:space="preserve"> HYPERLINK \l "_Toc7829" </w:instrText>
          </w:r>
          <w:r>
            <w:fldChar w:fldCharType="separate"/>
          </w:r>
          <w:r>
            <w:rPr>
              <w:rFonts w:hint="eastAsia" w:ascii="楷体_GB2312" w:hAnsi="楷体_GB2312" w:eastAsia="楷体_GB2312" w:cs="楷体_GB2312"/>
              <w:sz w:val="32"/>
              <w:szCs w:val="36"/>
            </w:rPr>
            <w:t>（一）全面实施碳排放双控制度</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_Toc7829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6</w:t>
          </w:r>
          <w:r>
            <w:rPr>
              <w:rFonts w:hint="eastAsia" w:ascii="楷体_GB2312" w:hAnsi="楷体_GB2312" w:eastAsia="楷体_GB2312" w:cs="楷体_GB2312"/>
              <w:sz w:val="32"/>
              <w:szCs w:val="36"/>
            </w:rPr>
            <w:fldChar w:fldCharType="end"/>
          </w:r>
          <w:r>
            <w:rPr>
              <w:sz w:val="32"/>
              <w:szCs w:val="36"/>
            </w:rPr>
            <w:fldChar w:fldCharType="end"/>
          </w:r>
        </w:p>
        <w:p w14:paraId="64A36EA9">
          <w:pPr>
            <w:pStyle w:val="16"/>
            <w:tabs>
              <w:tab w:val="right" w:leader="dot" w:pos="8845"/>
            </w:tabs>
            <w:spacing w:line="520" w:lineRule="exact"/>
            <w:rPr>
              <w:rFonts w:hint="eastAsia"/>
              <w:sz w:val="32"/>
              <w:szCs w:val="36"/>
            </w:rPr>
          </w:pPr>
          <w:r>
            <w:fldChar w:fldCharType="begin"/>
          </w:r>
          <w:r>
            <w:instrText xml:space="preserve"> HYPERLINK \l "_Toc31067" </w:instrText>
          </w:r>
          <w:r>
            <w:fldChar w:fldCharType="separate"/>
          </w:r>
          <w:r>
            <w:rPr>
              <w:rFonts w:hint="eastAsia" w:ascii="楷体_GB2312" w:hAnsi="楷体_GB2312" w:eastAsia="楷体_GB2312" w:cs="楷体_GB2312"/>
              <w:sz w:val="32"/>
              <w:szCs w:val="36"/>
            </w:rPr>
            <w:t>（二）加快产业结构转型赋能新质生产力发展</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_Toc31067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7</w:t>
          </w:r>
          <w:r>
            <w:rPr>
              <w:rFonts w:hint="eastAsia" w:ascii="楷体_GB2312" w:hAnsi="楷体_GB2312" w:eastAsia="楷体_GB2312" w:cs="楷体_GB2312"/>
              <w:sz w:val="32"/>
              <w:szCs w:val="36"/>
            </w:rPr>
            <w:fldChar w:fldCharType="end"/>
          </w:r>
          <w:r>
            <w:rPr>
              <w:sz w:val="32"/>
              <w:szCs w:val="36"/>
            </w:rPr>
            <w:fldChar w:fldCharType="end"/>
          </w:r>
        </w:p>
        <w:p w14:paraId="6CD94134">
          <w:pPr>
            <w:pStyle w:val="16"/>
            <w:tabs>
              <w:tab w:val="right" w:leader="dot" w:pos="8845"/>
            </w:tabs>
            <w:spacing w:line="520" w:lineRule="exact"/>
            <w:rPr>
              <w:rFonts w:hint="eastAsia"/>
              <w:sz w:val="32"/>
              <w:szCs w:val="36"/>
            </w:rPr>
          </w:pPr>
          <w:r>
            <w:fldChar w:fldCharType="begin"/>
          </w:r>
          <w:r>
            <w:instrText xml:space="preserve"> HYPERLINK \l "_Toc31063" </w:instrText>
          </w:r>
          <w:r>
            <w:fldChar w:fldCharType="separate"/>
          </w:r>
          <w:r>
            <w:rPr>
              <w:rFonts w:hint="eastAsia" w:ascii="楷体_GB2312" w:hAnsi="楷体_GB2312" w:eastAsia="楷体_GB2312" w:cs="楷体_GB2312"/>
              <w:sz w:val="32"/>
              <w:szCs w:val="36"/>
            </w:rPr>
            <w:t>（三）推动重点领域绿色低碳高质量发展</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_Toc31063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8</w:t>
          </w:r>
          <w:r>
            <w:rPr>
              <w:rFonts w:hint="eastAsia" w:ascii="楷体_GB2312" w:hAnsi="楷体_GB2312" w:eastAsia="楷体_GB2312" w:cs="楷体_GB2312"/>
              <w:sz w:val="32"/>
              <w:szCs w:val="36"/>
            </w:rPr>
            <w:fldChar w:fldCharType="end"/>
          </w:r>
          <w:r>
            <w:rPr>
              <w:sz w:val="32"/>
              <w:szCs w:val="36"/>
            </w:rPr>
            <w:fldChar w:fldCharType="end"/>
          </w:r>
        </w:p>
        <w:p w14:paraId="65A752BD">
          <w:pPr>
            <w:pStyle w:val="16"/>
            <w:tabs>
              <w:tab w:val="right" w:leader="dot" w:pos="8845"/>
            </w:tabs>
            <w:spacing w:line="520" w:lineRule="exact"/>
            <w:rPr>
              <w:rFonts w:hint="eastAsia"/>
              <w:sz w:val="32"/>
              <w:szCs w:val="36"/>
            </w:rPr>
          </w:pPr>
          <w:r>
            <w:fldChar w:fldCharType="begin"/>
          </w:r>
          <w:r>
            <w:instrText xml:space="preserve"> HYPERLINK \l "_Toc23529" </w:instrText>
          </w:r>
          <w:r>
            <w:fldChar w:fldCharType="separate"/>
          </w:r>
          <w:r>
            <w:rPr>
              <w:rFonts w:hint="eastAsia" w:ascii="楷体_GB2312" w:hAnsi="楷体_GB2312" w:eastAsia="楷体_GB2312" w:cs="楷体_GB2312"/>
              <w:sz w:val="32"/>
              <w:szCs w:val="36"/>
            </w:rPr>
            <w:t>（四）探索区级碳预算管理体系</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_Toc23529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10</w:t>
          </w:r>
          <w:r>
            <w:rPr>
              <w:rFonts w:hint="eastAsia" w:ascii="楷体_GB2312" w:hAnsi="楷体_GB2312" w:eastAsia="楷体_GB2312" w:cs="楷体_GB2312"/>
              <w:sz w:val="32"/>
              <w:szCs w:val="36"/>
            </w:rPr>
            <w:fldChar w:fldCharType="end"/>
          </w:r>
          <w:r>
            <w:rPr>
              <w:sz w:val="32"/>
              <w:szCs w:val="36"/>
            </w:rPr>
            <w:fldChar w:fldCharType="end"/>
          </w:r>
        </w:p>
        <w:p w14:paraId="5F1DF766">
          <w:pPr>
            <w:pStyle w:val="16"/>
            <w:tabs>
              <w:tab w:val="right" w:leader="dot" w:pos="8845"/>
            </w:tabs>
            <w:spacing w:line="520" w:lineRule="exact"/>
            <w:rPr>
              <w:rFonts w:hint="eastAsia"/>
              <w:sz w:val="32"/>
              <w:szCs w:val="36"/>
            </w:rPr>
          </w:pPr>
          <w:r>
            <w:fldChar w:fldCharType="begin"/>
          </w:r>
          <w:r>
            <w:instrText xml:space="preserve"> HYPERLINK \l "_Toc4689" </w:instrText>
          </w:r>
          <w:r>
            <w:fldChar w:fldCharType="separate"/>
          </w:r>
          <w:r>
            <w:rPr>
              <w:rFonts w:hint="eastAsia" w:ascii="楷体_GB2312" w:hAnsi="楷体_GB2312" w:eastAsia="楷体_GB2312" w:cs="楷体_GB2312"/>
              <w:sz w:val="32"/>
              <w:szCs w:val="36"/>
            </w:rPr>
            <w:t>（五）健全企业碳管理与项目碳评价机制</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_Toc4689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11</w:t>
          </w:r>
          <w:r>
            <w:rPr>
              <w:rFonts w:hint="eastAsia" w:ascii="楷体_GB2312" w:hAnsi="楷体_GB2312" w:eastAsia="楷体_GB2312" w:cs="楷体_GB2312"/>
              <w:sz w:val="32"/>
              <w:szCs w:val="36"/>
            </w:rPr>
            <w:fldChar w:fldCharType="end"/>
          </w:r>
          <w:r>
            <w:rPr>
              <w:sz w:val="32"/>
              <w:szCs w:val="36"/>
            </w:rPr>
            <w:fldChar w:fldCharType="end"/>
          </w:r>
        </w:p>
        <w:p w14:paraId="1BA8DC9F">
          <w:pPr>
            <w:pStyle w:val="16"/>
            <w:tabs>
              <w:tab w:val="right" w:leader="dot" w:pos="8845"/>
            </w:tabs>
            <w:spacing w:line="520" w:lineRule="exact"/>
            <w:rPr>
              <w:rFonts w:hint="eastAsia"/>
              <w:sz w:val="32"/>
              <w:szCs w:val="36"/>
            </w:rPr>
          </w:pPr>
          <w:r>
            <w:fldChar w:fldCharType="begin"/>
          </w:r>
          <w:r>
            <w:instrText xml:space="preserve"> HYPERLINK \l "_Toc942" </w:instrText>
          </w:r>
          <w:r>
            <w:fldChar w:fldCharType="separate"/>
          </w:r>
          <w:r>
            <w:rPr>
              <w:rFonts w:hint="eastAsia" w:ascii="楷体_GB2312" w:hAnsi="楷体_GB2312" w:eastAsia="楷体_GB2312" w:cs="楷体_GB2312"/>
              <w:sz w:val="32"/>
              <w:szCs w:val="36"/>
            </w:rPr>
            <w:t>（六）</w:t>
          </w:r>
          <w:r>
            <w:rPr>
              <w:rFonts w:hint="eastAsia" w:ascii="楷体_GB2312" w:hAnsi="楷体_GB2312" w:eastAsia="楷体_GB2312" w:cs="楷体_GB2312"/>
              <w:sz w:val="32"/>
              <w:szCs w:val="36"/>
              <w:lang w:eastAsia="zh-CN"/>
            </w:rPr>
            <w:t>试点产品碳足迹管理</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_Toc942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13</w:t>
          </w:r>
          <w:r>
            <w:rPr>
              <w:rFonts w:hint="eastAsia" w:ascii="楷体_GB2312" w:hAnsi="楷体_GB2312" w:eastAsia="楷体_GB2312" w:cs="楷体_GB2312"/>
              <w:sz w:val="32"/>
              <w:szCs w:val="36"/>
            </w:rPr>
            <w:fldChar w:fldCharType="end"/>
          </w:r>
          <w:r>
            <w:rPr>
              <w:sz w:val="32"/>
              <w:szCs w:val="36"/>
            </w:rPr>
            <w:fldChar w:fldCharType="end"/>
          </w:r>
        </w:p>
        <w:p w14:paraId="38248E10">
          <w:pPr>
            <w:pStyle w:val="16"/>
            <w:tabs>
              <w:tab w:val="right" w:leader="dot" w:pos="8845"/>
            </w:tabs>
            <w:spacing w:line="520" w:lineRule="exact"/>
            <w:rPr>
              <w:rFonts w:hint="eastAsia"/>
              <w:sz w:val="32"/>
              <w:szCs w:val="36"/>
            </w:rPr>
          </w:pPr>
          <w:r>
            <w:fldChar w:fldCharType="begin"/>
          </w:r>
          <w:r>
            <w:instrText xml:space="preserve"> HYPERLINK \l "_Toc9484" </w:instrText>
          </w:r>
          <w:r>
            <w:fldChar w:fldCharType="separate"/>
          </w:r>
          <w:r>
            <w:rPr>
              <w:rFonts w:hint="eastAsia" w:ascii="楷体_GB2312" w:hAnsi="楷体_GB2312" w:eastAsia="楷体_GB2312" w:cs="楷体_GB2312"/>
              <w:sz w:val="32"/>
              <w:szCs w:val="36"/>
            </w:rPr>
            <w:t>（七）建设零碳园区及区域</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_Toc9484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14</w:t>
          </w:r>
          <w:r>
            <w:rPr>
              <w:rFonts w:hint="eastAsia" w:ascii="楷体_GB2312" w:hAnsi="楷体_GB2312" w:eastAsia="楷体_GB2312" w:cs="楷体_GB2312"/>
              <w:sz w:val="32"/>
              <w:szCs w:val="36"/>
            </w:rPr>
            <w:fldChar w:fldCharType="end"/>
          </w:r>
          <w:r>
            <w:rPr>
              <w:sz w:val="32"/>
              <w:szCs w:val="36"/>
            </w:rPr>
            <w:fldChar w:fldCharType="end"/>
          </w:r>
        </w:p>
        <w:p w14:paraId="6D6ACE88">
          <w:pPr>
            <w:pStyle w:val="16"/>
            <w:tabs>
              <w:tab w:val="right" w:leader="dot" w:pos="8845"/>
            </w:tabs>
            <w:spacing w:line="520" w:lineRule="exact"/>
            <w:rPr>
              <w:rFonts w:hint="eastAsia"/>
              <w:sz w:val="32"/>
              <w:szCs w:val="36"/>
            </w:rPr>
          </w:pPr>
          <w:r>
            <w:fldChar w:fldCharType="begin"/>
          </w:r>
          <w:r>
            <w:instrText xml:space="preserve"> HYPERLINK \l "_Toc1791" </w:instrText>
          </w:r>
          <w:r>
            <w:fldChar w:fldCharType="separate"/>
          </w:r>
          <w:r>
            <w:rPr>
              <w:rFonts w:hint="eastAsia" w:ascii="楷体_GB2312" w:hAnsi="楷体_GB2312" w:eastAsia="楷体_GB2312" w:cs="楷体_GB2312"/>
              <w:sz w:val="32"/>
              <w:szCs w:val="36"/>
            </w:rPr>
            <w:t>（八）数智化赋能节能降碳</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_Toc1791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1</w:t>
          </w:r>
          <w:r>
            <w:rPr>
              <w:rFonts w:hint="eastAsia" w:ascii="楷体_GB2312" w:hAnsi="楷体_GB2312" w:eastAsia="楷体_GB2312" w:cs="楷体_GB2312"/>
              <w:sz w:val="32"/>
              <w:szCs w:val="36"/>
              <w:lang w:val="en-US" w:eastAsia="zh-CN"/>
            </w:rPr>
            <w:t>6</w:t>
          </w:r>
          <w:r>
            <w:rPr>
              <w:rFonts w:hint="eastAsia" w:ascii="楷体_GB2312" w:hAnsi="楷体_GB2312" w:eastAsia="楷体_GB2312" w:cs="楷体_GB2312"/>
              <w:sz w:val="32"/>
              <w:szCs w:val="36"/>
            </w:rPr>
            <w:fldChar w:fldCharType="end"/>
          </w:r>
          <w:r>
            <w:rPr>
              <w:sz w:val="32"/>
              <w:szCs w:val="36"/>
            </w:rPr>
            <w:fldChar w:fldCharType="end"/>
          </w:r>
        </w:p>
        <w:p w14:paraId="358225A0">
          <w:pPr>
            <w:pStyle w:val="16"/>
            <w:tabs>
              <w:tab w:val="right" w:leader="dot" w:pos="8845"/>
            </w:tabs>
            <w:spacing w:line="520" w:lineRule="exact"/>
            <w:rPr>
              <w:rFonts w:hint="eastAsia"/>
            </w:rPr>
          </w:pPr>
          <w:r>
            <w:fldChar w:fldCharType="begin"/>
          </w:r>
          <w:r>
            <w:instrText xml:space="preserve"> HYPERLINK \l "_Toc23475" </w:instrText>
          </w:r>
          <w:r>
            <w:fldChar w:fldCharType="separate"/>
          </w:r>
          <w:r>
            <w:rPr>
              <w:rFonts w:hint="eastAsia" w:ascii="楷体_GB2312" w:hAnsi="楷体_GB2312" w:eastAsia="楷体_GB2312" w:cs="楷体_GB2312"/>
              <w:sz w:val="32"/>
              <w:szCs w:val="36"/>
            </w:rPr>
            <w:t>（九）强化科技支撑构建全链条低碳技术创新</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_Toc23475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17</w:t>
          </w:r>
          <w:r>
            <w:rPr>
              <w:rFonts w:hint="eastAsia" w:ascii="楷体_GB2312" w:hAnsi="楷体_GB2312" w:eastAsia="楷体_GB2312" w:cs="楷体_GB2312"/>
              <w:sz w:val="32"/>
              <w:szCs w:val="36"/>
            </w:rPr>
            <w:fldChar w:fldCharType="end"/>
          </w:r>
          <w:r>
            <w:rPr>
              <w:sz w:val="32"/>
              <w:szCs w:val="36"/>
            </w:rPr>
            <w:fldChar w:fldCharType="end"/>
          </w:r>
        </w:p>
        <w:p w14:paraId="5CEA4C75">
          <w:pPr>
            <w:pStyle w:val="14"/>
            <w:tabs>
              <w:tab w:val="right" w:leader="dot" w:pos="8845"/>
              <w:tab w:val="clear" w:pos="8296"/>
            </w:tabs>
            <w:spacing w:after="0" w:line="520" w:lineRule="exact"/>
            <w:rPr>
              <w:rFonts w:hint="eastAsia"/>
            </w:rPr>
          </w:pPr>
          <w:r>
            <w:fldChar w:fldCharType="begin"/>
          </w:r>
          <w:r>
            <w:instrText xml:space="preserve"> HYPERLINK \l "_Toc18399" </w:instrText>
          </w:r>
          <w:r>
            <w:fldChar w:fldCharType="separate"/>
          </w:r>
          <w:r>
            <w:rPr>
              <w:rFonts w:hint="eastAsia"/>
            </w:rPr>
            <w:t>五、保障机制</w:t>
          </w:r>
          <w:r>
            <w:rPr>
              <w:rFonts w:hint="eastAsia" w:asciiTheme="minorHAnsi" w:hAnsiTheme="minorHAnsi" w:eastAsiaTheme="minorEastAsia" w:cstheme="minorBidi"/>
              <w:szCs w:val="36"/>
            </w:rPr>
            <w:tab/>
          </w:r>
          <w:r>
            <w:fldChar w:fldCharType="begin"/>
          </w:r>
          <w:r>
            <w:instrText xml:space="preserve"> PAGEREF _Toc18399 \h </w:instrText>
          </w:r>
          <w:r>
            <w:fldChar w:fldCharType="separate"/>
          </w:r>
          <w:r>
            <w:t>18</w:t>
          </w:r>
          <w:r>
            <w:fldChar w:fldCharType="end"/>
          </w:r>
          <w:r>
            <w:fldChar w:fldCharType="end"/>
          </w:r>
        </w:p>
        <w:p w14:paraId="2383FC79">
          <w:pPr>
            <w:pStyle w:val="16"/>
            <w:tabs>
              <w:tab w:val="right" w:leader="dot" w:pos="8845"/>
            </w:tabs>
            <w:spacing w:line="520" w:lineRule="exact"/>
            <w:rPr>
              <w:rFonts w:hint="eastAsia"/>
              <w:sz w:val="32"/>
              <w:szCs w:val="36"/>
            </w:rPr>
          </w:pPr>
          <w:r>
            <w:fldChar w:fldCharType="begin"/>
          </w:r>
          <w:r>
            <w:instrText xml:space="preserve"> HYPERLINK \l "_Toc30389" </w:instrText>
          </w:r>
          <w:r>
            <w:fldChar w:fldCharType="separate"/>
          </w:r>
          <w:r>
            <w:rPr>
              <w:rFonts w:hint="eastAsia" w:ascii="楷体_GB2312" w:hAnsi="楷体_GB2312" w:eastAsia="楷体_GB2312" w:cs="楷体_GB2312"/>
              <w:sz w:val="32"/>
              <w:szCs w:val="36"/>
            </w:rPr>
            <w:t>（一）健全目标责任与管理制度体系</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_Toc30389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18</w:t>
          </w:r>
          <w:r>
            <w:rPr>
              <w:rFonts w:hint="eastAsia" w:ascii="楷体_GB2312" w:hAnsi="楷体_GB2312" w:eastAsia="楷体_GB2312" w:cs="楷体_GB2312"/>
              <w:sz w:val="32"/>
              <w:szCs w:val="36"/>
            </w:rPr>
            <w:fldChar w:fldCharType="end"/>
          </w:r>
          <w:r>
            <w:rPr>
              <w:sz w:val="32"/>
              <w:szCs w:val="36"/>
            </w:rPr>
            <w:fldChar w:fldCharType="end"/>
          </w:r>
        </w:p>
        <w:p w14:paraId="19796AE0">
          <w:pPr>
            <w:pStyle w:val="16"/>
            <w:tabs>
              <w:tab w:val="right" w:leader="dot" w:pos="8845"/>
            </w:tabs>
            <w:spacing w:line="520" w:lineRule="exact"/>
            <w:rPr>
              <w:rFonts w:hint="eastAsia"/>
              <w:sz w:val="32"/>
              <w:szCs w:val="36"/>
            </w:rPr>
          </w:pPr>
          <w:r>
            <w:fldChar w:fldCharType="begin"/>
          </w:r>
          <w:r>
            <w:instrText xml:space="preserve"> HYPERLINK \l "_Toc14736" </w:instrText>
          </w:r>
          <w:r>
            <w:fldChar w:fldCharType="separate"/>
          </w:r>
          <w:r>
            <w:rPr>
              <w:rFonts w:hint="eastAsia" w:ascii="楷体_GB2312" w:hAnsi="楷体_GB2312" w:eastAsia="楷体_GB2312" w:cs="楷体_GB2312"/>
              <w:sz w:val="32"/>
              <w:szCs w:val="36"/>
            </w:rPr>
            <w:t>（二）加大财政支出与政策引导力度</w:t>
          </w:r>
          <w:r>
            <w:rPr>
              <w:rFonts w:hint="eastAsia"/>
              <w:sz w:val="32"/>
              <w:szCs w:val="36"/>
            </w:rPr>
            <w:tab/>
          </w:r>
          <w:r>
            <w:rPr>
              <w:sz w:val="32"/>
              <w:szCs w:val="36"/>
            </w:rPr>
            <w:fldChar w:fldCharType="begin"/>
          </w:r>
          <w:r>
            <w:rPr>
              <w:rFonts w:hint="eastAsia"/>
              <w:sz w:val="32"/>
              <w:szCs w:val="36"/>
            </w:rPr>
            <w:instrText xml:space="preserve"> PAGEREF _Toc14736 \h </w:instrText>
          </w:r>
          <w:r>
            <w:rPr>
              <w:sz w:val="32"/>
              <w:szCs w:val="36"/>
            </w:rPr>
            <w:fldChar w:fldCharType="separate"/>
          </w:r>
          <w:r>
            <w:rPr>
              <w:rFonts w:hint="eastAsia" w:ascii="楷体_GB2312" w:hAnsi="楷体_GB2312" w:eastAsia="楷体_GB2312" w:cs="楷体_GB2312"/>
              <w:sz w:val="32"/>
              <w:szCs w:val="36"/>
            </w:rPr>
            <w:t>1</w:t>
          </w:r>
          <w:r>
            <w:rPr>
              <w:rFonts w:hint="eastAsia" w:ascii="楷体_GB2312" w:hAnsi="楷体_GB2312" w:eastAsia="楷体_GB2312" w:cs="楷体_GB2312"/>
              <w:sz w:val="32"/>
              <w:szCs w:val="36"/>
              <w:lang w:val="en-US" w:eastAsia="zh-CN"/>
            </w:rPr>
            <w:t>9</w:t>
          </w:r>
          <w:r>
            <w:rPr>
              <w:sz w:val="32"/>
              <w:szCs w:val="36"/>
            </w:rPr>
            <w:fldChar w:fldCharType="end"/>
          </w:r>
          <w:r>
            <w:rPr>
              <w:sz w:val="32"/>
              <w:szCs w:val="36"/>
            </w:rPr>
            <w:fldChar w:fldCharType="end"/>
          </w:r>
        </w:p>
        <w:p w14:paraId="6205E0B3">
          <w:pPr>
            <w:pStyle w:val="16"/>
            <w:tabs>
              <w:tab w:val="right" w:leader="dot" w:pos="8845"/>
            </w:tabs>
            <w:spacing w:line="520" w:lineRule="exact"/>
            <w:rPr>
              <w:rFonts w:hint="eastAsia"/>
              <w:sz w:val="32"/>
              <w:szCs w:val="36"/>
            </w:rPr>
          </w:pPr>
          <w:r>
            <w:fldChar w:fldCharType="begin"/>
          </w:r>
          <w:r>
            <w:instrText xml:space="preserve"> HYPERLINK \l "_Toc18071" </w:instrText>
          </w:r>
          <w:r>
            <w:fldChar w:fldCharType="separate"/>
          </w:r>
          <w:r>
            <w:rPr>
              <w:rFonts w:hint="eastAsia" w:ascii="楷体_GB2312" w:hAnsi="楷体_GB2312" w:eastAsia="楷体_GB2312" w:cs="楷体_GB2312"/>
              <w:sz w:val="32"/>
              <w:szCs w:val="36"/>
            </w:rPr>
            <w:t>（三）完善市场化机制与绿色金融服务</w:t>
          </w:r>
          <w:r>
            <w:rPr>
              <w:rFonts w:hint="eastAsia"/>
              <w:sz w:val="32"/>
              <w:szCs w:val="36"/>
            </w:rPr>
            <w:tab/>
          </w:r>
          <w:r>
            <w:rPr>
              <w:rFonts w:hint="eastAsia" w:ascii="楷体_GB2312" w:hAnsi="楷体_GB2312" w:eastAsia="楷体_GB2312" w:cs="楷体_GB2312"/>
              <w:sz w:val="32"/>
              <w:szCs w:val="36"/>
            </w:rPr>
            <w:fldChar w:fldCharType="begin"/>
          </w:r>
          <w:r>
            <w:rPr>
              <w:rFonts w:hint="eastAsia" w:ascii="楷体_GB2312" w:hAnsi="楷体_GB2312" w:eastAsia="楷体_GB2312" w:cs="楷体_GB2312"/>
              <w:sz w:val="32"/>
              <w:szCs w:val="36"/>
            </w:rPr>
            <w:instrText xml:space="preserve"> PAGEREF _Toc18071 \h </w:instrText>
          </w:r>
          <w:r>
            <w:rPr>
              <w:rFonts w:hint="eastAsia" w:ascii="楷体_GB2312" w:hAnsi="楷体_GB2312" w:eastAsia="楷体_GB2312" w:cs="楷体_GB2312"/>
              <w:sz w:val="32"/>
              <w:szCs w:val="36"/>
            </w:rPr>
            <w:fldChar w:fldCharType="separate"/>
          </w:r>
          <w:r>
            <w:rPr>
              <w:rFonts w:hint="eastAsia" w:ascii="楷体_GB2312" w:hAnsi="楷体_GB2312" w:eastAsia="楷体_GB2312" w:cs="楷体_GB2312"/>
              <w:sz w:val="32"/>
              <w:szCs w:val="36"/>
            </w:rPr>
            <w:t>19</w:t>
          </w:r>
          <w:r>
            <w:rPr>
              <w:rFonts w:hint="eastAsia" w:ascii="楷体_GB2312" w:hAnsi="楷体_GB2312" w:eastAsia="楷体_GB2312" w:cs="楷体_GB2312"/>
              <w:sz w:val="32"/>
              <w:szCs w:val="36"/>
            </w:rPr>
            <w:fldChar w:fldCharType="end"/>
          </w:r>
          <w:r>
            <w:rPr>
              <w:sz w:val="32"/>
              <w:szCs w:val="36"/>
            </w:rPr>
            <w:fldChar w:fldCharType="end"/>
          </w:r>
        </w:p>
        <w:p w14:paraId="168A1E41">
          <w:pPr>
            <w:pStyle w:val="16"/>
            <w:tabs>
              <w:tab w:val="right" w:leader="dot" w:pos="8845"/>
            </w:tabs>
            <w:spacing w:line="520" w:lineRule="exact"/>
            <w:rPr>
              <w:rFonts w:hint="eastAsia"/>
            </w:rPr>
          </w:pPr>
          <w:r>
            <w:fldChar w:fldCharType="begin"/>
          </w:r>
          <w:r>
            <w:instrText xml:space="preserve"> HYPERLINK \l "_Toc5033" </w:instrText>
          </w:r>
          <w:r>
            <w:fldChar w:fldCharType="separate"/>
          </w:r>
          <w:r>
            <w:rPr>
              <w:rFonts w:hint="eastAsia" w:ascii="楷体_GB2312" w:hAnsi="楷体_GB2312" w:eastAsia="楷体_GB2312" w:cs="楷体_GB2312"/>
              <w:sz w:val="32"/>
              <w:szCs w:val="36"/>
            </w:rPr>
            <w:t>（四）强化宣传引导与社会协同共治</w:t>
          </w:r>
          <w:r>
            <w:rPr>
              <w:rFonts w:hint="eastAsia"/>
              <w:sz w:val="32"/>
              <w:szCs w:val="36"/>
            </w:rPr>
            <w:tab/>
          </w:r>
          <w:r>
            <w:rPr>
              <w:sz w:val="32"/>
              <w:szCs w:val="36"/>
            </w:rPr>
            <w:fldChar w:fldCharType="begin"/>
          </w:r>
          <w:r>
            <w:rPr>
              <w:rFonts w:hint="eastAsia"/>
              <w:sz w:val="32"/>
              <w:szCs w:val="36"/>
            </w:rPr>
            <w:instrText xml:space="preserve"> PAGEREF _Toc5033 \h </w:instrText>
          </w:r>
          <w:r>
            <w:rPr>
              <w:sz w:val="32"/>
              <w:szCs w:val="36"/>
            </w:rPr>
            <w:fldChar w:fldCharType="separate"/>
          </w:r>
          <w:r>
            <w:rPr>
              <w:rFonts w:hint="eastAsia" w:ascii="楷体_GB2312" w:hAnsi="楷体_GB2312" w:eastAsia="楷体_GB2312" w:cs="楷体_GB2312"/>
              <w:sz w:val="32"/>
              <w:szCs w:val="36"/>
            </w:rPr>
            <w:t>19</w:t>
          </w:r>
          <w:r>
            <w:rPr>
              <w:sz w:val="32"/>
              <w:szCs w:val="36"/>
            </w:rPr>
            <w:fldChar w:fldCharType="end"/>
          </w:r>
          <w:r>
            <w:rPr>
              <w:sz w:val="32"/>
              <w:szCs w:val="36"/>
            </w:rPr>
            <w:fldChar w:fldCharType="end"/>
          </w:r>
        </w:p>
        <w:p w14:paraId="4BB75451">
          <w:pPr>
            <w:snapToGrid w:val="0"/>
            <w:spacing w:line="560" w:lineRule="exact"/>
            <w:rPr>
              <w:rFonts w:ascii="Times New Roman" w:hAnsi="Times New Roman" w:cs="Times New Roman"/>
              <w:sz w:val="32"/>
              <w:szCs w:val="32"/>
            </w:rPr>
          </w:pPr>
          <w:r>
            <w:fldChar w:fldCharType="end"/>
          </w:r>
        </w:p>
      </w:sdtContent>
    </w:sdt>
    <w:p w14:paraId="532A83D0">
      <w:pPr>
        <w:widowControl/>
        <w:jc w:val="left"/>
        <w:rPr>
          <w:rFonts w:ascii="Times New Roman" w:hAnsi="Times New Roman" w:eastAsia="仿宋_GB2312" w:cs="Times New Roman"/>
          <w:sz w:val="32"/>
          <w:szCs w:val="32"/>
        </w:rPr>
        <w:sectPr>
          <w:footerReference r:id="rId4" w:type="default"/>
          <w:pgSz w:w="11906" w:h="16838"/>
          <w:pgMar w:top="2098" w:right="1474" w:bottom="1984" w:left="1587" w:header="851" w:footer="992" w:gutter="0"/>
          <w:pgNumType w:fmt="upperRoman" w:start="1"/>
          <w:cols w:space="425" w:num="1"/>
          <w:docGrid w:type="lines" w:linePitch="312" w:charSpace="0"/>
        </w:sectPr>
      </w:pPr>
    </w:p>
    <w:p w14:paraId="210F9AF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节能降碳是推动经济社会发展全面绿色转型、加快生态文明建设的重要抓手，是实现碳达峰碳中和目标的重要路径。进入“十五五”时期，松江区立足</w:t>
      </w:r>
      <w:r>
        <w:rPr>
          <w:rFonts w:hint="eastAsia" w:ascii="Times New Roman" w:hAnsi="Times New Roman" w:eastAsia="仿宋_GB2312" w:cs="Times New Roman"/>
          <w:sz w:val="32"/>
          <w:szCs w:val="32"/>
          <w:lang w:eastAsia="zh-CN"/>
        </w:rPr>
        <w:t>“四个区”和</w:t>
      </w:r>
      <w:r>
        <w:rPr>
          <w:rFonts w:ascii="Times New Roman" w:hAnsi="Times New Roman" w:eastAsia="仿宋_GB2312" w:cs="Times New Roman"/>
          <w:sz w:val="32"/>
          <w:szCs w:val="32"/>
        </w:rPr>
        <w:t>G60科创走廊重要承载区功能定位，加快构建“2+4”现代化产业体系，绿色制造、智能制造和现代服务业加快发展，对能效提升和碳排放管理提出了更高要求。为贯彻落实国家“双碳”战略和上海市有关工作部署，推进节能降碳体制机制建设，根据《上海市节能降碳和循环经济发展“十五五”规划》《上海市松江区国民经济和社会发展第十五个五年规划纲要》等文件，制定本规划。</w:t>
      </w:r>
    </w:p>
    <w:p w14:paraId="6EB94F8B">
      <w:pPr>
        <w:pStyle w:val="2"/>
        <w:spacing w:line="560" w:lineRule="exact"/>
        <w:ind w:firstLine="643" w:firstLineChars="200"/>
        <w:rPr>
          <w:rFonts w:ascii="Times New Roman" w:hAnsi="Times New Roman" w:cs="Times New Roman"/>
          <w:b/>
          <w:bCs/>
        </w:rPr>
      </w:pPr>
      <w:bookmarkStart w:id="0" w:name="_Toc14956"/>
      <w:bookmarkStart w:id="1" w:name="_Toc6716"/>
      <w:bookmarkStart w:id="2" w:name="_Toc2159"/>
      <w:bookmarkStart w:id="3" w:name="_Toc30952"/>
      <w:r>
        <w:rPr>
          <w:rFonts w:ascii="Times New Roman" w:hAnsi="Times New Roman" w:cs="Times New Roman"/>
          <w:b/>
          <w:bCs/>
        </w:rPr>
        <w:t>一、发展基础</w:t>
      </w:r>
      <w:bookmarkEnd w:id="0"/>
      <w:bookmarkEnd w:id="1"/>
      <w:bookmarkEnd w:id="2"/>
      <w:bookmarkEnd w:id="3"/>
    </w:p>
    <w:p w14:paraId="562D88D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“十四五”期间，松江区认真落实国家和上海市节能降碳工作部署，持续推进节能降耗、绿色转型和重点领域改造，区域能源利用效率、绿色制造水平和碳排放管理基础不断提升。</w:t>
      </w:r>
    </w:p>
    <w:p w14:paraId="2BE6CDE9">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能耗双控机制有效落实</w:t>
      </w:r>
    </w:p>
    <w:p w14:paraId="5076338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“十四五”期间，松江区坚持能耗总量和强度双控，严格实施项目能评审查和能源预算管理。2024年全区能源消费总量为482.47万吨标准煤，控制在“十四五”预期范围内。</w:t>
      </w:r>
    </w:p>
    <w:p w14:paraId="61A340EB">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2.区域碳核算基础初步建立</w:t>
      </w:r>
    </w:p>
    <w:p w14:paraId="4EFE5BC6">
      <w:pPr>
        <w:spacing w:line="56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参照国家和上海市相关技术规范，松江区完成2021—2024年区域能源活动碳排放总量和单位地区生产总值排放强度核算，初步建立区级碳排放统计核算框架。2023年区域能源活动碳排放总量为806.95万吨，较2021年下降0.4%。</w:t>
      </w:r>
    </w:p>
    <w:p w14:paraId="0F13A40F">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3.产业绿色升级成效明显</w:t>
      </w:r>
    </w:p>
    <w:p w14:paraId="7F8980D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2+4”现代化产业体系建设，松江区持续推动传统高耗能行业转型升级。2021—2025年，全区累计实施产业结构调整项目412项，减少能源消耗折合4.645万吨标准煤；完成节能改造项目125项，节约综合能耗3.971万吨标准煤。松江经济技术开发区和松江综合保税区完成循环化改造，累计培育国家级绿色工厂16家、市级绿色工厂48家，建成国家级绿色园区1家、国家级及市级绿色供应链6个。</w:t>
      </w:r>
    </w:p>
    <w:p w14:paraId="59212E3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4.能源结构加快优化</w:t>
      </w:r>
    </w:p>
    <w:p w14:paraId="68F7F4E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松江区加快发展可再生能源，光伏建设取得积极进展。“十四五”期间，累计落实光伏项目2844个，装机规模达到457.1兆瓦，电源总装机容量年均增长率达41.42%；2025年实现发电量53.79万兆瓦时、上网电量18.44万兆瓦时。</w:t>
      </w:r>
    </w:p>
    <w:p w14:paraId="0B7A85A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5.重点领域绿色低碳转型扎实推进</w:t>
      </w:r>
    </w:p>
    <w:p w14:paraId="7667162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工业、建筑、交通运输和公共机构等重点领域，松江区推动24家重点用能企业完成节能诊断和整改。全区累计落实绿色建筑项目212个，总建筑面积2265.49万平方米；11个项目通过超低能耗建筑方案阶段认定，其中4个项目完成竣工验收；新能源环卫车辆累计新增203辆，新能源汽车充电桩累计接入市级平台15394个。</w:t>
      </w:r>
    </w:p>
    <w:p w14:paraId="6BCB0F32">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6.生态空间和碳汇能力稳步提升</w:t>
      </w:r>
    </w:p>
    <w:p w14:paraId="6812D06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松江区持续推进增绿提质和生态保护，优化城市生态空间格局。“十四五”期间，全区森林覆盖率较“十三五”末提升0.83个百分点，绿化覆盖率达到25.98%，生态空间品质持续改善。</w:t>
      </w:r>
    </w:p>
    <w:p w14:paraId="34D1ADCD">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7.政策引导与基础管理协同推进</w:t>
      </w:r>
    </w:p>
    <w:p w14:paraId="6B0555A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五”以来，松江区先后出台《松江区碳达峰实施方案》《松江区城乡建设领域碳达峰实施方案》等政策文件，持续加强能源计量、能耗统计和重点用能单位在线监测。全区纳入能耗监测平台重点用能单位46家，纳入碳排放配额管理单位28家，累计开展节能评估审查项目95个。</w:t>
      </w:r>
    </w:p>
    <w:p w14:paraId="46B3F31C">
      <w:pPr>
        <w:pStyle w:val="2"/>
        <w:spacing w:line="560" w:lineRule="exact"/>
        <w:ind w:firstLine="643" w:firstLineChars="200"/>
        <w:rPr>
          <w:rFonts w:ascii="Times New Roman" w:hAnsi="Times New Roman" w:cs="Times New Roman"/>
          <w:b/>
          <w:bCs/>
        </w:rPr>
      </w:pPr>
      <w:bookmarkStart w:id="4" w:name="_Toc16985"/>
      <w:bookmarkStart w:id="5" w:name="_Toc9635"/>
      <w:bookmarkStart w:id="6" w:name="_Toc10425"/>
      <w:bookmarkStart w:id="7" w:name="_Toc12112"/>
      <w:r>
        <w:rPr>
          <w:rFonts w:hint="eastAsia" w:ascii="Times New Roman" w:hAnsi="Times New Roman" w:cs="Times New Roman"/>
          <w:b/>
          <w:bCs/>
        </w:rPr>
        <w:t>二、发展环境</w:t>
      </w:r>
      <w:bookmarkEnd w:id="4"/>
      <w:bookmarkEnd w:id="5"/>
      <w:bookmarkEnd w:id="6"/>
      <w:bookmarkEnd w:id="7"/>
    </w:p>
    <w:p w14:paraId="0082545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五”时期，国家和上海市对绿色低碳发展的要求持续提高，碳排放双控制度将加快完善，节能降碳工作面临更高标准和更严要求。随着绿色转型、绿色贸易和绿色治理相关政策加快推进，松江区资源环境约束进一步增强，同时也迎来培育绿色低碳新动能、提升区域竞争力的重要机遇。</w:t>
      </w:r>
    </w:p>
    <w:p w14:paraId="7469E1C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松江区作为G60科创走廊重要承载区，正加快推进“2+4”现代化产业体系建设，节能降碳已不仅是生态环境约束要求，也是推动产业转型升级、提高发展质量的重要抓手。面向“十五五”，松江区需要把节能降碳与产业发展、园区建设、企业治理和社会转型更加紧密结合，推动形成绿色低碳发展新格局。同时，数字化、智能化正在成为提升能碳治理能力的重要支撑。松江区应充分发挥产业和技术基础优势，推动能耗与碳排放管理向数字化、精细化方向发展，为节能降碳提供更加有力的治理支撑。</w:t>
      </w:r>
    </w:p>
    <w:p w14:paraId="1D08A9F1">
      <w:pPr>
        <w:pStyle w:val="2"/>
        <w:spacing w:line="560" w:lineRule="exact"/>
        <w:ind w:firstLine="643" w:firstLineChars="200"/>
        <w:rPr>
          <w:rFonts w:ascii="Times New Roman" w:hAnsi="Times New Roman" w:cs="Times New Roman"/>
          <w:b/>
          <w:bCs/>
        </w:rPr>
      </w:pPr>
      <w:bookmarkStart w:id="8" w:name="_Toc31684"/>
      <w:bookmarkStart w:id="9" w:name="_Toc805"/>
      <w:bookmarkStart w:id="10" w:name="_Toc1482"/>
      <w:bookmarkStart w:id="11" w:name="_Toc2610"/>
      <w:r>
        <w:rPr>
          <w:rFonts w:hint="eastAsia" w:ascii="Times New Roman" w:hAnsi="Times New Roman" w:cs="Times New Roman"/>
          <w:b/>
          <w:bCs/>
        </w:rPr>
        <w:t>三</w:t>
      </w:r>
      <w:r>
        <w:rPr>
          <w:rFonts w:ascii="Times New Roman" w:hAnsi="Times New Roman" w:cs="Times New Roman"/>
          <w:b/>
          <w:bCs/>
        </w:rPr>
        <w:t>、</w:t>
      </w:r>
      <w:r>
        <w:rPr>
          <w:rFonts w:hint="eastAsia" w:ascii="Times New Roman" w:hAnsi="Times New Roman" w:cs="Times New Roman"/>
          <w:b/>
          <w:bCs/>
        </w:rPr>
        <w:t>总体要求</w:t>
      </w:r>
      <w:bookmarkEnd w:id="8"/>
      <w:bookmarkEnd w:id="9"/>
      <w:bookmarkEnd w:id="10"/>
      <w:bookmarkEnd w:id="11"/>
    </w:p>
    <w:p w14:paraId="706C356D">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12" w:name="_Toc2223"/>
      <w:bookmarkStart w:id="13" w:name="_Toc4257"/>
      <w:bookmarkStart w:id="14" w:name="_Toc26990"/>
      <w:bookmarkStart w:id="15" w:name="_Toc15862"/>
      <w:r>
        <w:rPr>
          <w:rStyle w:val="22"/>
          <w:rFonts w:ascii="楷体_GB2312" w:hAnsi="楷体_GB2312" w:eastAsia="楷体_GB2312" w:cs="楷体_GB2312"/>
          <w:b/>
          <w:bCs w:val="0"/>
          <w:color w:val="auto"/>
          <w:szCs w:val="32"/>
          <w14:ligatures w14:val="none"/>
        </w:rPr>
        <w:t>（一）指导思想</w:t>
      </w:r>
      <w:bookmarkEnd w:id="12"/>
      <w:bookmarkEnd w:id="13"/>
      <w:bookmarkEnd w:id="14"/>
      <w:bookmarkEnd w:id="15"/>
    </w:p>
    <w:p w14:paraId="024A7D4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指导，全面贯彻党的二十大和二十届历次全会精神，深入践行习近平生态文明思想，落实国家和上海市关于绿色低碳转型的部署要求，立足松江区功能定位和产业基础，坚持“双碳”引领，推动能耗双控向碳排放双控转变，统筹推进产业结构优化、能源体系转型和治理能力提升，确保2030年前实现碳达峰，为建设现代化新松江提供有力支撑。</w:t>
      </w:r>
    </w:p>
    <w:p w14:paraId="7EB3D464">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16" w:name="_Toc31787"/>
      <w:bookmarkStart w:id="17" w:name="_Toc8390"/>
      <w:bookmarkStart w:id="18" w:name="_Toc2840"/>
      <w:bookmarkStart w:id="19" w:name="_Toc22579"/>
      <w:r>
        <w:rPr>
          <w:rStyle w:val="22"/>
          <w:rFonts w:ascii="楷体_GB2312" w:hAnsi="楷体_GB2312" w:eastAsia="楷体_GB2312" w:cs="楷体_GB2312"/>
          <w:b/>
          <w:bCs w:val="0"/>
          <w:color w:val="auto"/>
          <w:szCs w:val="32"/>
          <w14:ligatures w14:val="none"/>
        </w:rPr>
        <w:t>（二）基本原则</w:t>
      </w:r>
      <w:bookmarkEnd w:id="16"/>
      <w:bookmarkEnd w:id="17"/>
      <w:bookmarkEnd w:id="18"/>
      <w:bookmarkEnd w:id="19"/>
    </w:p>
    <w:p w14:paraId="53E7FFDC">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坚持双控牵引。</w:t>
      </w:r>
      <w:r>
        <w:rPr>
          <w:rFonts w:hint="eastAsia" w:ascii="Times New Roman" w:hAnsi="Times New Roman" w:eastAsia="仿宋_GB2312" w:cs="Times New Roman"/>
          <w:sz w:val="32"/>
          <w:szCs w:val="32"/>
        </w:rPr>
        <w:t>统筹能耗和碳排放管理，强化目标约束、源头管控和重点领域节能降碳，推动节能降碳要求更好融入经济社会发展全过程。</w:t>
      </w:r>
    </w:p>
    <w:p w14:paraId="064F6B53">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坚持转型升级。</w:t>
      </w:r>
      <w:r>
        <w:rPr>
          <w:rFonts w:hint="eastAsia" w:ascii="Times New Roman" w:hAnsi="Times New Roman" w:eastAsia="仿宋_GB2312" w:cs="Times New Roman"/>
          <w:sz w:val="32"/>
          <w:szCs w:val="32"/>
        </w:rPr>
        <w:t>把节能降碳贯穿产业发展、城市建设、交通运输和资源利用各环节，推动产业结构、能源结构和资源利用方式持续优化，加快形成绿色低碳发展方式。</w:t>
      </w:r>
    </w:p>
    <w:p w14:paraId="2FD4FECF">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坚持创新赋能。</w:t>
      </w:r>
      <w:r>
        <w:rPr>
          <w:rFonts w:hint="eastAsia" w:ascii="Times New Roman" w:hAnsi="Times New Roman" w:eastAsia="仿宋_GB2312" w:cs="Times New Roman"/>
          <w:sz w:val="32"/>
          <w:szCs w:val="32"/>
        </w:rPr>
        <w:t>发挥松江科创和产业优势，加强绿色低碳技术、数字技术和管理创新协同应用，提升节能降碳工作的支撑能力和治理效能。</w:t>
      </w:r>
    </w:p>
    <w:p w14:paraId="194012C2">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坚持市场协同。</w:t>
      </w:r>
      <w:r>
        <w:rPr>
          <w:rFonts w:hint="eastAsia" w:ascii="Times New Roman" w:hAnsi="Times New Roman" w:eastAsia="仿宋_GB2312" w:cs="Times New Roman"/>
          <w:sz w:val="32"/>
          <w:szCs w:val="32"/>
        </w:rPr>
        <w:t>更好发挥市场机制作用，完善绿色金融、绿色采购、绿电交易等政策工具，调动企业、社会组织和公众参与节能降碳的积极性。</w:t>
      </w:r>
    </w:p>
    <w:p w14:paraId="3DE31667">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坚持依法治理。</w:t>
      </w:r>
      <w:r>
        <w:rPr>
          <w:rFonts w:hint="eastAsia" w:ascii="Times New Roman" w:hAnsi="Times New Roman" w:eastAsia="仿宋_GB2312" w:cs="Times New Roman"/>
          <w:sz w:val="32"/>
          <w:szCs w:val="32"/>
        </w:rPr>
        <w:t>完善统计核算、审查评价、监督考核等基础制度，提升节能降碳工作规范化、精细化水平。</w:t>
      </w:r>
    </w:p>
    <w:p w14:paraId="4BDF5352">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20" w:name="OLE_LINK2"/>
      <w:bookmarkStart w:id="21" w:name="_Toc28318"/>
      <w:bookmarkStart w:id="22" w:name="_Toc11150"/>
      <w:bookmarkStart w:id="23" w:name="_Toc19030"/>
      <w:bookmarkStart w:id="24" w:name="_Toc19851"/>
      <w:r>
        <w:rPr>
          <w:rStyle w:val="22"/>
          <w:rFonts w:ascii="楷体_GB2312" w:hAnsi="楷体_GB2312" w:eastAsia="楷体_GB2312" w:cs="楷体_GB2312"/>
          <w:b/>
          <w:bCs w:val="0"/>
          <w:color w:val="auto"/>
          <w:szCs w:val="32"/>
          <w14:ligatures w14:val="none"/>
        </w:rPr>
        <w:t>（三）</w:t>
      </w:r>
      <w:bookmarkEnd w:id="20"/>
      <w:r>
        <w:rPr>
          <w:rStyle w:val="22"/>
          <w:rFonts w:hint="eastAsia" w:ascii="楷体_GB2312" w:hAnsi="楷体_GB2312" w:eastAsia="楷体_GB2312" w:cs="楷体_GB2312"/>
          <w:b/>
          <w:bCs w:val="0"/>
          <w:color w:val="auto"/>
          <w:szCs w:val="32"/>
          <w14:ligatures w14:val="none"/>
        </w:rPr>
        <w:t>发展目标和</w:t>
      </w:r>
      <w:r>
        <w:rPr>
          <w:rStyle w:val="22"/>
          <w:rFonts w:ascii="楷体_GB2312" w:hAnsi="楷体_GB2312" w:eastAsia="楷体_GB2312" w:cs="楷体_GB2312"/>
          <w:b/>
          <w:bCs w:val="0"/>
          <w:color w:val="auto"/>
          <w:szCs w:val="32"/>
          <w14:ligatures w14:val="none"/>
        </w:rPr>
        <w:t>主要</w:t>
      </w:r>
      <w:r>
        <w:rPr>
          <w:rStyle w:val="22"/>
          <w:rFonts w:hint="eastAsia" w:ascii="楷体_GB2312" w:hAnsi="楷体_GB2312" w:eastAsia="楷体_GB2312" w:cs="楷体_GB2312"/>
          <w:b/>
          <w:bCs w:val="0"/>
          <w:color w:val="auto"/>
          <w:szCs w:val="32"/>
          <w14:ligatures w14:val="none"/>
        </w:rPr>
        <w:t>指标</w:t>
      </w:r>
      <w:bookmarkEnd w:id="21"/>
      <w:bookmarkEnd w:id="22"/>
      <w:bookmarkEnd w:id="23"/>
      <w:bookmarkEnd w:id="24"/>
    </w:p>
    <w:p w14:paraId="518C4BD4">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总体</w:t>
      </w:r>
      <w:r>
        <w:rPr>
          <w:rFonts w:ascii="Times New Roman" w:hAnsi="Times New Roman" w:eastAsia="仿宋_GB2312" w:cs="Times New Roman"/>
          <w:b/>
          <w:bCs/>
          <w:sz w:val="32"/>
          <w:szCs w:val="32"/>
        </w:rPr>
        <w:t>目标</w:t>
      </w:r>
    </w:p>
    <w:p w14:paraId="0E45D21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到2030年，松江区碳排放总量和强度得到合理控制，确保如期实现碳达峰；产业结构、能源结构和资源利用结构持续优化，工业、建筑、交通、公共机构等重点领域绿色低碳转型取得明显成效，节能降碳治理基础进一步夯实，区域绿色低碳发展水平持续提升。</w:t>
      </w:r>
    </w:p>
    <w:p w14:paraId="2799A089">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——综合管控基础持续夯实。</w:t>
      </w:r>
      <w:r>
        <w:rPr>
          <w:rFonts w:hint="eastAsia" w:ascii="Times New Roman" w:hAnsi="Times New Roman" w:eastAsia="仿宋_GB2312" w:cs="Times New Roman"/>
          <w:sz w:val="32"/>
          <w:szCs w:val="32"/>
        </w:rPr>
        <w:t>碳排放统计核算、目标管理、项目审查、重点单位监管等基础工作进一步加强，节能降碳责任体系更加清晰，基础支撑能力不断提升。</w:t>
      </w:r>
    </w:p>
    <w:p w14:paraId="4BB07BFD">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——重点领域转型成效更加明显。</w:t>
      </w:r>
      <w:r>
        <w:rPr>
          <w:rFonts w:hint="eastAsia" w:ascii="Times New Roman" w:hAnsi="Times New Roman" w:eastAsia="仿宋_GB2312" w:cs="Times New Roman"/>
          <w:sz w:val="32"/>
          <w:szCs w:val="32"/>
        </w:rPr>
        <w:t>工业、建筑、交通、公共机构等重点领域节能降碳深入推进，能源利用效率稳步提升，绿色低碳发展方式加快形成。</w:t>
      </w:r>
    </w:p>
    <w:p w14:paraId="4C91790B">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——绿色低碳发展支撑能力持续增强。</w:t>
      </w:r>
      <w:r>
        <w:rPr>
          <w:rFonts w:hint="eastAsia" w:ascii="Times New Roman" w:hAnsi="Times New Roman" w:eastAsia="仿宋_GB2312" w:cs="Times New Roman"/>
          <w:sz w:val="32"/>
          <w:szCs w:val="32"/>
        </w:rPr>
        <w:t>绿色能源应用、资源循环利用、园区低碳发展、数字化治理等方面取得积极进展，服务区域绿色转型的支撑条件不断改善。</w:t>
      </w:r>
    </w:p>
    <w:p w14:paraId="03DD7690">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主要指标</w:t>
      </w:r>
    </w:p>
    <w:p w14:paraId="105624E6">
      <w:pPr>
        <w:spacing w:line="560" w:lineRule="exact"/>
        <w:ind w:firstLine="640"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主要指标按照市级下达目标和本区分解任务执行，具体见表“‘十五五’松江区节能降碳主要指标”。</w:t>
      </w:r>
    </w:p>
    <w:p w14:paraId="096BA2BB">
      <w:pPr>
        <w:spacing w:line="560" w:lineRule="exact"/>
        <w:ind w:firstLine="640" w:firstLineChars="200"/>
        <w:rPr>
          <w:rFonts w:hint="eastAsia" w:ascii="Times New Roman" w:hAnsi="Times New Roman" w:eastAsia="仿宋_GB2312" w:cs="Times New Roman"/>
          <w:b w:val="0"/>
          <w:bCs w:val="0"/>
          <w:sz w:val="32"/>
          <w:szCs w:val="32"/>
        </w:rPr>
      </w:pPr>
    </w:p>
    <w:p w14:paraId="53D249F8">
      <w:pPr>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表 “十五五”松江区节能降碳主要指标</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252"/>
        <w:gridCol w:w="1464"/>
        <w:gridCol w:w="1672"/>
      </w:tblGrid>
      <w:tr w14:paraId="0712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1" w:type="pct"/>
            <w:vAlign w:val="center"/>
          </w:tcPr>
          <w:p w14:paraId="456C94B2">
            <w:pPr>
              <w:spacing w:after="160" w:line="54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目标类别</w:t>
            </w:r>
          </w:p>
        </w:tc>
        <w:tc>
          <w:tcPr>
            <w:tcW w:w="2347" w:type="pct"/>
            <w:vAlign w:val="center"/>
          </w:tcPr>
          <w:p w14:paraId="71915630">
            <w:pPr>
              <w:spacing w:after="160" w:line="54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具体目标内容</w:t>
            </w:r>
          </w:p>
        </w:tc>
        <w:tc>
          <w:tcPr>
            <w:tcW w:w="808" w:type="pct"/>
            <w:vAlign w:val="center"/>
          </w:tcPr>
          <w:p w14:paraId="6FA4745C">
            <w:pPr>
              <w:spacing w:after="160" w:line="54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目标值</w:t>
            </w:r>
          </w:p>
        </w:tc>
        <w:tc>
          <w:tcPr>
            <w:tcW w:w="923" w:type="pct"/>
            <w:vAlign w:val="center"/>
          </w:tcPr>
          <w:p w14:paraId="1310D041">
            <w:pPr>
              <w:spacing w:after="160" w:line="54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指标属性</w:t>
            </w:r>
          </w:p>
        </w:tc>
      </w:tr>
      <w:tr w14:paraId="0E4C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1" w:type="pct"/>
            <w:vMerge w:val="restart"/>
            <w:vAlign w:val="center"/>
          </w:tcPr>
          <w:p w14:paraId="5C1EFA3A">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节能降碳</w:t>
            </w:r>
          </w:p>
        </w:tc>
        <w:tc>
          <w:tcPr>
            <w:tcW w:w="2347" w:type="pct"/>
            <w:vAlign w:val="center"/>
          </w:tcPr>
          <w:p w14:paraId="2B727A22">
            <w:pPr>
              <w:spacing w:after="160" w:line="5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单位生产总值碳排放下降率</w:t>
            </w:r>
          </w:p>
        </w:tc>
        <w:tc>
          <w:tcPr>
            <w:tcW w:w="808" w:type="pct"/>
            <w:vAlign w:val="center"/>
          </w:tcPr>
          <w:p w14:paraId="61C435E1">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XX</w:t>
            </w:r>
          </w:p>
        </w:tc>
        <w:tc>
          <w:tcPr>
            <w:tcW w:w="923" w:type="pct"/>
            <w:vAlign w:val="center"/>
          </w:tcPr>
          <w:p w14:paraId="3F53D62D">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约束性</w:t>
            </w:r>
          </w:p>
        </w:tc>
      </w:tr>
      <w:tr w14:paraId="60E2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Merge w:val="continue"/>
            <w:vAlign w:val="center"/>
          </w:tcPr>
          <w:p w14:paraId="1EBC01D5">
            <w:pPr>
              <w:spacing w:after="160" w:line="540" w:lineRule="exact"/>
              <w:jc w:val="center"/>
              <w:rPr>
                <w:rFonts w:ascii="Times New Roman" w:hAnsi="Times New Roman" w:eastAsia="仿宋_GB2312" w:cs="Times New Roman"/>
                <w:sz w:val="28"/>
                <w:szCs w:val="28"/>
              </w:rPr>
            </w:pPr>
          </w:p>
        </w:tc>
        <w:tc>
          <w:tcPr>
            <w:tcW w:w="2347" w:type="pct"/>
            <w:vAlign w:val="center"/>
          </w:tcPr>
          <w:p w14:paraId="2D9F023A">
            <w:pPr>
              <w:spacing w:after="160" w:line="5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单位生产总值能耗下降率</w:t>
            </w:r>
          </w:p>
        </w:tc>
        <w:tc>
          <w:tcPr>
            <w:tcW w:w="808" w:type="pct"/>
            <w:vAlign w:val="center"/>
          </w:tcPr>
          <w:p w14:paraId="4825273D">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XX</w:t>
            </w:r>
          </w:p>
        </w:tc>
        <w:tc>
          <w:tcPr>
            <w:tcW w:w="923" w:type="pct"/>
            <w:vAlign w:val="center"/>
          </w:tcPr>
          <w:p w14:paraId="545F2387">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预期性</w:t>
            </w:r>
          </w:p>
        </w:tc>
      </w:tr>
      <w:tr w14:paraId="5CC9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Merge w:val="restart"/>
            <w:vAlign w:val="center"/>
          </w:tcPr>
          <w:p w14:paraId="7ABC8BDA">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建筑领域</w:t>
            </w:r>
          </w:p>
        </w:tc>
        <w:tc>
          <w:tcPr>
            <w:tcW w:w="2347" w:type="pct"/>
            <w:vAlign w:val="center"/>
          </w:tcPr>
          <w:p w14:paraId="2E4E29CD">
            <w:pPr>
              <w:spacing w:after="160" w:line="5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新建民用建筑执行绿色建筑基本级及以上标准比例</w:t>
            </w:r>
          </w:p>
        </w:tc>
        <w:tc>
          <w:tcPr>
            <w:tcW w:w="808" w:type="pct"/>
            <w:vAlign w:val="center"/>
          </w:tcPr>
          <w:p w14:paraId="07A65DD7">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100%</w:t>
            </w:r>
          </w:p>
        </w:tc>
        <w:tc>
          <w:tcPr>
            <w:tcW w:w="923" w:type="pct"/>
            <w:vAlign w:val="center"/>
          </w:tcPr>
          <w:p w14:paraId="146AB5B5">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预期性</w:t>
            </w:r>
          </w:p>
        </w:tc>
      </w:tr>
      <w:tr w14:paraId="2097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Merge w:val="continue"/>
            <w:vAlign w:val="center"/>
          </w:tcPr>
          <w:p w14:paraId="3F398B39">
            <w:pPr>
              <w:spacing w:after="160" w:line="540" w:lineRule="exact"/>
              <w:jc w:val="center"/>
              <w:rPr>
                <w:rFonts w:ascii="Times New Roman" w:hAnsi="Times New Roman" w:eastAsia="仿宋_GB2312" w:cs="Times New Roman"/>
                <w:sz w:val="28"/>
                <w:szCs w:val="28"/>
              </w:rPr>
            </w:pPr>
          </w:p>
        </w:tc>
        <w:tc>
          <w:tcPr>
            <w:tcW w:w="2347" w:type="pct"/>
            <w:vAlign w:val="center"/>
          </w:tcPr>
          <w:p w14:paraId="1D9EDD8E">
            <w:pPr>
              <w:spacing w:after="160" w:line="5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新建大型公共建筑执行三星级及以上绿色建筑标准比例</w:t>
            </w:r>
          </w:p>
        </w:tc>
        <w:tc>
          <w:tcPr>
            <w:tcW w:w="808" w:type="pct"/>
            <w:vAlign w:val="center"/>
          </w:tcPr>
          <w:p w14:paraId="72A64DE0">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100%</w:t>
            </w:r>
          </w:p>
        </w:tc>
        <w:tc>
          <w:tcPr>
            <w:tcW w:w="923" w:type="pct"/>
            <w:vAlign w:val="center"/>
          </w:tcPr>
          <w:p w14:paraId="71067A8A">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预期性</w:t>
            </w:r>
          </w:p>
        </w:tc>
      </w:tr>
      <w:tr w14:paraId="481A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Merge w:val="restart"/>
            <w:vAlign w:val="center"/>
          </w:tcPr>
          <w:p w14:paraId="6511895E">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公共机构与交通</w:t>
            </w:r>
          </w:p>
        </w:tc>
        <w:tc>
          <w:tcPr>
            <w:tcW w:w="2347" w:type="pct"/>
            <w:vAlign w:val="center"/>
          </w:tcPr>
          <w:p w14:paraId="6CCFB7FB">
            <w:pPr>
              <w:spacing w:after="160" w:line="5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公共领域新增或更新车辆使用新能源汽车比例</w:t>
            </w:r>
          </w:p>
        </w:tc>
        <w:tc>
          <w:tcPr>
            <w:tcW w:w="808" w:type="pct"/>
            <w:vAlign w:val="center"/>
          </w:tcPr>
          <w:p w14:paraId="77D21A68">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100%</w:t>
            </w:r>
          </w:p>
        </w:tc>
        <w:tc>
          <w:tcPr>
            <w:tcW w:w="923" w:type="pct"/>
            <w:vAlign w:val="center"/>
          </w:tcPr>
          <w:p w14:paraId="524BFC4B">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预期性</w:t>
            </w:r>
          </w:p>
        </w:tc>
      </w:tr>
      <w:tr w14:paraId="3969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Merge w:val="continue"/>
            <w:vAlign w:val="center"/>
          </w:tcPr>
          <w:p w14:paraId="438A36A9">
            <w:pPr>
              <w:spacing w:after="160" w:line="540" w:lineRule="exact"/>
              <w:jc w:val="center"/>
              <w:rPr>
                <w:rFonts w:ascii="Times New Roman" w:hAnsi="Times New Roman" w:eastAsia="仿宋_GB2312" w:cs="Times New Roman"/>
                <w:sz w:val="28"/>
                <w:szCs w:val="28"/>
              </w:rPr>
            </w:pPr>
          </w:p>
        </w:tc>
        <w:tc>
          <w:tcPr>
            <w:tcW w:w="2347" w:type="pct"/>
            <w:vAlign w:val="center"/>
          </w:tcPr>
          <w:p w14:paraId="285FCDC8">
            <w:pPr>
              <w:spacing w:after="160" w:line="5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公共机构光伏建设任务完成率</w:t>
            </w:r>
          </w:p>
        </w:tc>
        <w:tc>
          <w:tcPr>
            <w:tcW w:w="808" w:type="pct"/>
            <w:vAlign w:val="center"/>
          </w:tcPr>
          <w:p w14:paraId="7E664A11">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100%</w:t>
            </w:r>
          </w:p>
        </w:tc>
        <w:tc>
          <w:tcPr>
            <w:tcW w:w="923" w:type="pct"/>
            <w:vAlign w:val="center"/>
          </w:tcPr>
          <w:p w14:paraId="35347B44">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预期性</w:t>
            </w:r>
          </w:p>
        </w:tc>
      </w:tr>
      <w:tr w14:paraId="165D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pct"/>
            <w:vMerge w:val="continue"/>
            <w:vAlign w:val="center"/>
          </w:tcPr>
          <w:p w14:paraId="282DD91A">
            <w:pPr>
              <w:spacing w:after="160" w:line="540" w:lineRule="exact"/>
              <w:jc w:val="center"/>
              <w:rPr>
                <w:rFonts w:ascii="Times New Roman" w:hAnsi="Times New Roman" w:eastAsia="仿宋_GB2312" w:cs="Times New Roman"/>
                <w:sz w:val="28"/>
                <w:szCs w:val="28"/>
              </w:rPr>
            </w:pPr>
          </w:p>
        </w:tc>
        <w:tc>
          <w:tcPr>
            <w:tcW w:w="2347" w:type="pct"/>
            <w:vAlign w:val="center"/>
          </w:tcPr>
          <w:p w14:paraId="01EE7844">
            <w:pPr>
              <w:spacing w:after="160" w:line="5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公共机构办公建筑单位建筑面积碳排放下降率</w:t>
            </w:r>
          </w:p>
        </w:tc>
        <w:tc>
          <w:tcPr>
            <w:tcW w:w="808" w:type="pct"/>
            <w:vAlign w:val="center"/>
          </w:tcPr>
          <w:p w14:paraId="3488768F">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923" w:type="pct"/>
            <w:vAlign w:val="center"/>
          </w:tcPr>
          <w:p w14:paraId="72392C15">
            <w:pPr>
              <w:spacing w:after="160"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预期性</w:t>
            </w:r>
          </w:p>
        </w:tc>
      </w:tr>
    </w:tbl>
    <w:p w14:paraId="0CA2F2DF">
      <w:pPr>
        <w:pStyle w:val="2"/>
        <w:spacing w:line="560" w:lineRule="exact"/>
        <w:ind w:firstLine="643" w:firstLineChars="200"/>
        <w:rPr>
          <w:rFonts w:ascii="Times New Roman" w:hAnsi="Times New Roman" w:cs="Times New Roman"/>
          <w:b/>
          <w:bCs/>
        </w:rPr>
      </w:pPr>
      <w:bookmarkStart w:id="25" w:name="_Toc6405"/>
      <w:bookmarkStart w:id="26" w:name="_Toc27753"/>
      <w:bookmarkStart w:id="27" w:name="_Toc13152"/>
      <w:bookmarkStart w:id="28" w:name="_Toc17619"/>
      <w:r>
        <w:rPr>
          <w:rFonts w:hint="eastAsia" w:ascii="Times New Roman" w:hAnsi="Times New Roman" w:cs="Times New Roman"/>
          <w:b/>
          <w:bCs/>
        </w:rPr>
        <w:t>四</w:t>
      </w:r>
      <w:r>
        <w:rPr>
          <w:rFonts w:ascii="Times New Roman" w:hAnsi="Times New Roman" w:cs="Times New Roman"/>
          <w:b/>
          <w:bCs/>
        </w:rPr>
        <w:t>、</w:t>
      </w:r>
      <w:r>
        <w:rPr>
          <w:rFonts w:hint="eastAsia" w:ascii="Times New Roman" w:hAnsi="Times New Roman" w:cs="Times New Roman"/>
          <w:b/>
          <w:bCs/>
        </w:rPr>
        <w:t>主要</w:t>
      </w:r>
      <w:r>
        <w:rPr>
          <w:rFonts w:ascii="Times New Roman" w:hAnsi="Times New Roman" w:cs="Times New Roman"/>
          <w:b/>
          <w:bCs/>
        </w:rPr>
        <w:t>任务</w:t>
      </w:r>
      <w:bookmarkEnd w:id="25"/>
      <w:bookmarkEnd w:id="26"/>
      <w:bookmarkEnd w:id="27"/>
      <w:bookmarkEnd w:id="28"/>
    </w:p>
    <w:p w14:paraId="624C1047">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29" w:name="_Toc19048"/>
      <w:bookmarkStart w:id="30" w:name="_Toc8875"/>
      <w:bookmarkStart w:id="31" w:name="_Toc21856"/>
      <w:bookmarkStart w:id="32" w:name="_Toc7829"/>
      <w:r>
        <w:rPr>
          <w:rStyle w:val="22"/>
          <w:rFonts w:ascii="楷体_GB2312" w:hAnsi="楷体_GB2312" w:eastAsia="楷体_GB2312" w:cs="楷体_GB2312"/>
          <w:b/>
          <w:bCs w:val="0"/>
          <w:color w:val="auto"/>
          <w:szCs w:val="32"/>
          <w14:ligatures w14:val="none"/>
        </w:rPr>
        <w:t>（一）</w:t>
      </w:r>
      <w:r>
        <w:rPr>
          <w:rStyle w:val="22"/>
          <w:rFonts w:hint="eastAsia" w:ascii="楷体_GB2312" w:hAnsi="楷体_GB2312" w:eastAsia="楷体_GB2312" w:cs="楷体_GB2312"/>
          <w:b/>
          <w:bCs w:val="0"/>
          <w:color w:val="auto"/>
          <w:szCs w:val="32"/>
          <w14:ligatures w14:val="none"/>
        </w:rPr>
        <w:t>全面</w:t>
      </w:r>
      <w:r>
        <w:rPr>
          <w:rStyle w:val="22"/>
          <w:rFonts w:ascii="楷体_GB2312" w:hAnsi="楷体_GB2312" w:eastAsia="楷体_GB2312" w:cs="楷体_GB2312"/>
          <w:b/>
          <w:bCs w:val="0"/>
          <w:color w:val="auto"/>
          <w:szCs w:val="32"/>
          <w14:ligatures w14:val="none"/>
        </w:rPr>
        <w:t>实施碳排放双控</w:t>
      </w:r>
      <w:r>
        <w:rPr>
          <w:rStyle w:val="22"/>
          <w:rFonts w:hint="eastAsia" w:ascii="楷体_GB2312" w:hAnsi="楷体_GB2312" w:eastAsia="楷体_GB2312" w:cs="楷体_GB2312"/>
          <w:b/>
          <w:bCs w:val="0"/>
          <w:color w:val="auto"/>
          <w:szCs w:val="32"/>
          <w14:ligatures w14:val="none"/>
        </w:rPr>
        <w:t>制度</w:t>
      </w:r>
      <w:bookmarkEnd w:id="29"/>
      <w:bookmarkEnd w:id="30"/>
      <w:bookmarkEnd w:id="31"/>
      <w:bookmarkEnd w:id="32"/>
    </w:p>
    <w:p w14:paraId="1B1967A2">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1.科学分解双控任务，强化责任落实</w:t>
      </w:r>
    </w:p>
    <w:p w14:paraId="38A984A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落实国家和上海市关于碳排放双控工作的部署要求，结合区域功能定位、产业结构和能源消费特征，完善碳排放总量和强度目标分解及责任落实机制。推动双控要求与年度计划、项目管理和重点用能单位监管相衔接，强化源头管控、过程监测和结果运用，提升碳排放双控工作的针对性和有效性。</w:t>
      </w:r>
    </w:p>
    <w:p w14:paraId="5A52A321">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2.完善计量核算体系，夯实数据基础</w:t>
      </w:r>
    </w:p>
    <w:p w14:paraId="2F49062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区、街镇、园区多层级碳排放统计核算体系，统一核算边界、核算方法、数据口径和排放因子，规范企业能源与碳排放台账管理。加强重点领域数据归集、统计分析和共享应用，提升碳排放数据的准确性、可追溯性和可比性，为目标管理、政策评估和科学决策提供支撑。</w:t>
      </w:r>
    </w:p>
    <w:p w14:paraId="1F7CCB00">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3.强化重点领域节能降碳管理</w:t>
      </w:r>
    </w:p>
    <w:p w14:paraId="11847C8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重点行业和重点用能单位，分类推进节能降碳改造、能效提升和能源替代。持续开展节能诊断、能效对标和“一企一策”减排行动，推动企业优化工艺流程、更新用能设备、提高能源利用效率，促进重点领域深度减排。</w:t>
      </w:r>
    </w:p>
    <w:p w14:paraId="22A9B2AA">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4.发挥市场机制和政策协同作用</w:t>
      </w:r>
    </w:p>
    <w:p w14:paraId="6337EE0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积极运用碳排放权、用能权、绿电绿证等政策和市场工具，引导企业提升绿色能源消费和减排管理水平。完善绿色金融支持方式，鼓励金融机构围绕节能降碳、绿色制造和低碳示范等领域创新金融产品，调动各类主体参与节能降碳的积极性。</w:t>
      </w:r>
    </w:p>
    <w:p w14:paraId="73B2C327">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33" w:name="_Toc11883"/>
      <w:bookmarkStart w:id="34" w:name="_Toc23855"/>
      <w:bookmarkStart w:id="35" w:name="_Toc9140"/>
      <w:bookmarkStart w:id="36" w:name="_Toc31067"/>
      <w:r>
        <w:rPr>
          <w:rStyle w:val="22"/>
          <w:rFonts w:ascii="楷体_GB2312" w:hAnsi="楷体_GB2312" w:eastAsia="楷体_GB2312" w:cs="楷体_GB2312"/>
          <w:b/>
          <w:bCs w:val="0"/>
          <w:color w:val="auto"/>
          <w:szCs w:val="32"/>
          <w14:ligatures w14:val="none"/>
        </w:rPr>
        <w:t>（二）加快产业结构转型赋能新质生产力发展</w:t>
      </w:r>
      <w:bookmarkEnd w:id="33"/>
      <w:bookmarkEnd w:id="34"/>
      <w:bookmarkEnd w:id="35"/>
      <w:bookmarkEnd w:id="36"/>
    </w:p>
    <w:p w14:paraId="2BF595BF">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1.节能降碳支撑“2+4”现代化产业体系建设</w:t>
      </w:r>
    </w:p>
    <w:p w14:paraId="077E8D7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2+4”现代化产业体系建设，统筹新兴产业发展与能耗、碳排放约束，加强重点产业项目源头管理，推动项目在规划、建设和运行过程中落实节能降碳要求。结合产业布局和发展需求，优化能源配置和要素保障，推动重点产业绿色低碳发展。</w:t>
      </w:r>
    </w:p>
    <w:p w14:paraId="1D06CABB">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2.推动传统产业绿色低碳转型</w:t>
      </w:r>
    </w:p>
    <w:p w14:paraId="289C250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持续推进传统制造业节能改造和清洁生产，实施重点用能设备更新和工艺系统优化。聚焦汽车零部件、装备制造、电子信息、先进材料等重点行业，推动绿色设计、循环化改造和再生原料替代，培育绿色工厂和绿色供应链企业，提升重点产业绿色竞争力。探索开展工业领域能效对标和低碳评价，促进传统产业向高端化、智能化、绿色化转型。</w:t>
      </w:r>
    </w:p>
    <w:p w14:paraId="09444C44">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3.推进产业与能源协同发展</w:t>
      </w:r>
    </w:p>
    <w:p w14:paraId="1C2E895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快推进“源网荷储”一体化建设，提升重点区域清洁能源供给、储能配置和用能调节能力，促进产业发展与能源结构优化协同推进。支持重点园区因地制宜发展分布式光伏、新型储能、微电网等低碳能源设施，提升可再生能源配置和就地消纳水平，为产业绿色转型提供支撑。</w:t>
      </w:r>
    </w:p>
    <w:p w14:paraId="1781E53D">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37" w:name="_Toc10579"/>
      <w:bookmarkStart w:id="38" w:name="_Toc5167"/>
      <w:bookmarkStart w:id="39" w:name="_Toc30897"/>
      <w:bookmarkStart w:id="40" w:name="_Toc31063"/>
      <w:r>
        <w:rPr>
          <w:rStyle w:val="22"/>
          <w:rFonts w:ascii="楷体_GB2312" w:hAnsi="楷体_GB2312" w:eastAsia="楷体_GB2312" w:cs="楷体_GB2312"/>
          <w:b/>
          <w:bCs w:val="0"/>
          <w:color w:val="auto"/>
          <w:szCs w:val="32"/>
          <w14:ligatures w14:val="none"/>
        </w:rPr>
        <w:t>（三）</w:t>
      </w:r>
      <w:r>
        <w:rPr>
          <w:rStyle w:val="22"/>
          <w:rFonts w:hint="eastAsia" w:ascii="楷体_GB2312" w:hAnsi="楷体_GB2312" w:eastAsia="楷体_GB2312" w:cs="楷体_GB2312"/>
          <w:b/>
          <w:bCs w:val="0"/>
          <w:color w:val="auto"/>
          <w:szCs w:val="32"/>
          <w14:ligatures w14:val="none"/>
        </w:rPr>
        <w:t>推动</w:t>
      </w:r>
      <w:r>
        <w:rPr>
          <w:rStyle w:val="22"/>
          <w:rFonts w:ascii="楷体_GB2312" w:hAnsi="楷体_GB2312" w:eastAsia="楷体_GB2312" w:cs="楷体_GB2312"/>
          <w:b/>
          <w:bCs w:val="0"/>
          <w:color w:val="auto"/>
          <w:szCs w:val="32"/>
          <w14:ligatures w14:val="none"/>
        </w:rPr>
        <w:t>重点领域绿色低碳高质量发展</w:t>
      </w:r>
      <w:bookmarkEnd w:id="37"/>
      <w:bookmarkEnd w:id="38"/>
      <w:bookmarkEnd w:id="39"/>
      <w:bookmarkEnd w:id="40"/>
    </w:p>
    <w:p w14:paraId="6D441944">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1.工业领域</w:t>
      </w:r>
    </w:p>
    <w:p w14:paraId="688A4A2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重点制造业企业和园区，持续推进节能降碳改造、清洁生产、能效提升和资源综合利用，加快高耗能工艺和设备更新，推动工业领域绿色低碳转型。围绕汽车零部件、装备制造、电子信息、先进材料等重点行业，推动绿色设计、循环化改造和再生原料替代，完善绿色制造体系，培育绿色工厂、绿色园区和绿色供应链企业，提升产业绿色竞争力。支持工业园区优化能源利用方式，推进分布式光伏、区域供能和环境基础设施共建共享，促进能源梯级利用和减污降碳协同。</w:t>
      </w:r>
    </w:p>
    <w:p w14:paraId="1C4C7F96">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2.建筑领域</w:t>
      </w:r>
    </w:p>
    <w:p w14:paraId="3DC74BC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面落实绿色建筑相关要求，坚持新建建筑高标准建设与既有建筑节能改造并举，持续提升建筑领域绿色低碳发展水平。严格执行绿色建筑标准，稳步推进超低能耗建筑和低碳建筑发展，持续推进既有建筑节能改造和运行管理优化。加强建筑运行阶段分项计量、在线监测和能效管理，推动公共机构和工业厂房等重点建筑屋顶光伏应用，推广绿色建材使用和绿色建造方式，提升建筑领域节能降碳能力。到2030年，新建民用建筑100%执行绿色建筑基本级及以上标准，新建大型公共建筑100%执行三星级及以上标准，公共机构“十五五”光伏建设任务完成率100%。</w:t>
      </w:r>
    </w:p>
    <w:p w14:paraId="21B3B4B1">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3.交通运输领域</w:t>
      </w:r>
    </w:p>
    <w:p w14:paraId="0627AD2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快构建绿色低碳交通运输体系，推动公共交通、环卫、邮政、出租等公共领域车辆新能源化，积极推进物流运输和重点应用场景绿色转型。完善充换电等基础设施布局，推动老旧营运货车和高排放非道路移动机械更新替代，提升绿色物流组织效率和资源循环利用水平。持续优化公共交通和慢行出行环境，促进交通运输领域节能降碳。到2030年，公共领域新增或更新车辆100%使用新能源。</w:t>
      </w:r>
    </w:p>
    <w:p w14:paraId="3B29F274">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4.公共机构与服务业领域</w:t>
      </w:r>
    </w:p>
    <w:p w14:paraId="534724B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强化公共机构示范引领作用，推进办公建筑节能改造、能耗分项计量、能源审计和合同能源管理，持续提升公共机构节能降碳管理水平。围绕教育、医疗、商贸、文旅等重点服务业领域，推动节能提效和绿色低碳场景建设，培育资源节约、环境友好的服务业发展模式。到2030年，公共机构办公建筑单位建筑面积碳排放较2025年下降3%，公共机构新能源汽车使用比例达到85%。</w:t>
      </w:r>
    </w:p>
    <w:p w14:paraId="6B58020D">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5.农业与乡村领域</w:t>
      </w:r>
    </w:p>
    <w:p w14:paraId="2A53A5C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立足松江都市设施农业优势，推动设施农业生产方式绿色低碳转型，提升农业生产智能化、绿色化水平。推广新能源农机、工厂化农业装备和农产品初加工节能设施，推进种养业减排技术应用。拓展秸秆综合利用和畜禽粪污资源化利用，发展沼气、生物天然气等清洁能源，推动农业废弃物资源化和高值化利用。结合乡村振兴示范区与零碳农场建设，探索农产品碳足迹公共服务平台建设与碳标识认证制度，促进生态价值转化与农民增收协同。</w:t>
      </w:r>
    </w:p>
    <w:p w14:paraId="660CBE0E">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41" w:name="_Toc29750"/>
      <w:bookmarkStart w:id="42" w:name="_Toc13498"/>
      <w:bookmarkStart w:id="43" w:name="_Toc25343"/>
      <w:bookmarkStart w:id="44" w:name="_Toc23529"/>
      <w:r>
        <w:rPr>
          <w:rStyle w:val="22"/>
          <w:rFonts w:ascii="楷体_GB2312" w:hAnsi="楷体_GB2312" w:eastAsia="楷体_GB2312" w:cs="楷体_GB2312"/>
          <w:b/>
          <w:bCs w:val="0"/>
          <w:color w:val="auto"/>
          <w:szCs w:val="32"/>
          <w14:ligatures w14:val="none"/>
        </w:rPr>
        <w:t>（四）</w:t>
      </w:r>
      <w:r>
        <w:rPr>
          <w:rStyle w:val="22"/>
          <w:rFonts w:hint="eastAsia" w:ascii="楷体_GB2312" w:hAnsi="楷体_GB2312" w:eastAsia="楷体_GB2312" w:cs="楷体_GB2312"/>
          <w:b/>
          <w:bCs w:val="0"/>
          <w:color w:val="auto"/>
          <w:szCs w:val="32"/>
          <w14:ligatures w14:val="none"/>
        </w:rPr>
        <w:t>探索</w:t>
      </w:r>
      <w:r>
        <w:rPr>
          <w:rStyle w:val="22"/>
          <w:rFonts w:ascii="楷体_GB2312" w:hAnsi="楷体_GB2312" w:eastAsia="楷体_GB2312" w:cs="楷体_GB2312"/>
          <w:b/>
          <w:bCs w:val="0"/>
          <w:color w:val="auto"/>
          <w:szCs w:val="32"/>
          <w14:ligatures w14:val="none"/>
        </w:rPr>
        <w:t>区级碳预算管理体系</w:t>
      </w:r>
      <w:bookmarkEnd w:id="41"/>
      <w:bookmarkEnd w:id="42"/>
      <w:bookmarkEnd w:id="43"/>
      <w:bookmarkEnd w:id="44"/>
    </w:p>
    <w:p w14:paraId="11E40059">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1.研究完善区级碳预算基础框架</w:t>
      </w:r>
    </w:p>
    <w:p w14:paraId="72EE00F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全区碳排放总量和强度管理为基础，研究完善区级碳预算管理框架。聚焦工业、交通、建筑等重点领域直接排放和电力消费间接排放，逐步完善分层级碳排放核算和动态更新机制，强化重点环节数据支撑。结合重点区域和重点领域实际，细化能源活动、生产过程等关键环节数据基础，为碳预算编制、动态调整和政策实施提供支撑。</w:t>
      </w:r>
    </w:p>
    <w:p w14:paraId="2FA7EB22">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2.差异化分配碳排放总量和强度指标</w:t>
      </w:r>
    </w:p>
    <w:p w14:paraId="57F4444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松江区“2+4”现代化产业体系布局和功能区发展定位，探索差异化配置碳排放总量和强度指标。以单位产值碳强度持续下降为导向，统筹安排重点产业发展所需能碳空间，兼顾发展需求与约束要求。推动碳预算管理与土地利用、产业导入、项目审批等工作衔接，提高碳排放指标配置的科学性和精准性。</w:t>
      </w:r>
    </w:p>
    <w:p w14:paraId="50ED2CB7">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3.加强区域碳排放指标统筹协调</w:t>
      </w:r>
    </w:p>
    <w:p w14:paraId="35D9542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加强区级统筹和</w:t>
      </w:r>
      <w:r>
        <w:rPr>
          <w:rFonts w:hint="eastAsia" w:ascii="Times New Roman" w:hAnsi="Times New Roman" w:eastAsia="仿宋_GB2312" w:cs="Times New Roman"/>
          <w:sz w:val="32"/>
          <w:szCs w:val="32"/>
          <w:highlight w:val="none"/>
        </w:rPr>
        <w:t>街镇</w:t>
      </w:r>
      <w:r>
        <w:rPr>
          <w:rFonts w:hint="eastAsia" w:ascii="Times New Roman" w:hAnsi="Times New Roman" w:eastAsia="仿宋_GB2312" w:cs="Times New Roman"/>
          <w:sz w:val="32"/>
          <w:szCs w:val="32"/>
          <w:highlight w:val="none"/>
          <w:lang w:eastAsia="zh-CN"/>
        </w:rPr>
        <w:t>园区</w:t>
      </w:r>
      <w:r>
        <w:rPr>
          <w:rFonts w:hint="eastAsia" w:ascii="Times New Roman" w:hAnsi="Times New Roman" w:eastAsia="仿宋_GB2312" w:cs="Times New Roman"/>
          <w:sz w:val="32"/>
          <w:szCs w:val="32"/>
        </w:rPr>
        <w:t>协同，探索区域碳排放指标统筹协调方式，推动区域间碳排放管理更加衔接有序。健全碳预算执行情况跟踪评估和结果运用机制，强化责任落实与效率提升导向。结合实际推动碳预算执行与考核评价、资源配置等工作衔接，引导资源要素向绿色低碳方向优化配置，提升区域碳排放管理协同性和有效性。</w:t>
      </w:r>
    </w:p>
    <w:p w14:paraId="6D7E36A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4.拓展区域减排和抵消路径</w:t>
      </w:r>
    </w:p>
    <w:p w14:paraId="1E049B3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区级碳预算与碳市场、绿电绿证、CCER和生态碳汇等机制衔接，拓展区域减排和抵消路径。结合分布式光伏、能效提升、生态修复等重点方向，推动形成与区域碳预算相衔接的减排支撑方式。鼓励结合林业碳汇、绿地修复等生态项目，提升碳预算管理的灵活性和协同性，为区域绿色低碳发展提供支撑。</w:t>
      </w:r>
    </w:p>
    <w:p w14:paraId="31C42789">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45" w:name="_Toc3946"/>
      <w:bookmarkStart w:id="46" w:name="_Toc22250"/>
      <w:bookmarkStart w:id="47" w:name="_Toc11443"/>
      <w:bookmarkStart w:id="48" w:name="_Toc4689"/>
      <w:r>
        <w:rPr>
          <w:rStyle w:val="22"/>
          <w:rFonts w:ascii="楷体_GB2312" w:hAnsi="楷体_GB2312" w:eastAsia="楷体_GB2312" w:cs="楷体_GB2312"/>
          <w:b/>
          <w:bCs w:val="0"/>
          <w:color w:val="auto"/>
          <w:szCs w:val="32"/>
          <w14:ligatures w14:val="none"/>
        </w:rPr>
        <w:t>（五）</w:t>
      </w:r>
      <w:r>
        <w:rPr>
          <w:rStyle w:val="22"/>
          <w:rFonts w:hint="eastAsia" w:ascii="楷体_GB2312" w:hAnsi="楷体_GB2312" w:eastAsia="楷体_GB2312" w:cs="楷体_GB2312"/>
          <w:b/>
          <w:bCs w:val="0"/>
          <w:color w:val="auto"/>
          <w:szCs w:val="32"/>
          <w14:ligatures w14:val="none"/>
        </w:rPr>
        <w:t>健全企业碳管理与项目碳评价机制</w:t>
      </w:r>
      <w:bookmarkEnd w:id="45"/>
      <w:bookmarkEnd w:id="46"/>
      <w:bookmarkEnd w:id="47"/>
      <w:bookmarkEnd w:id="48"/>
    </w:p>
    <w:p w14:paraId="4D2D8B56">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1.推动企业自主碳减排</w:t>
      </w:r>
    </w:p>
    <w:p w14:paraId="6747308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引导企业健全碳排放管理制度，完善能效提升和减排实施方案。支持企业加强能源管理和碳排放监测计量，提升能源消耗和碳排放管理水平。推动重点企业开展能效诊断和“一厂一策”碳减排行动，推广先进节能降碳技术，提升绿色低碳产品和服务供给能力，带动供应链协同减排。</w:t>
      </w:r>
    </w:p>
    <w:p w14:paraId="311E1738">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2.加强企业可持续发展实践</w:t>
      </w:r>
    </w:p>
    <w:p w14:paraId="6A6D873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引导企业加强碳排放核算、环境信息披露和供应链碳数据管理，提升企业绿色治理能力。支持企业按照国内外规则开展环境信息披露、碳数据管理和碳标签应用，培育碳管理、能源审计和节能诊断等专业服务能力。鼓励企业将ESG理念融入经营管理，发挥</w:t>
      </w:r>
      <w:r>
        <w:rPr>
          <w:rFonts w:hint="eastAsia" w:ascii="Times New Roman" w:hAnsi="Times New Roman" w:eastAsia="仿宋_GB2312" w:cs="Times New Roman"/>
          <w:sz w:val="32"/>
          <w:szCs w:val="32"/>
          <w:lang w:eastAsia="zh-CN"/>
        </w:rPr>
        <w:t>产业链</w:t>
      </w:r>
      <w:r>
        <w:rPr>
          <w:rFonts w:hint="eastAsia" w:ascii="Times New Roman" w:hAnsi="Times New Roman" w:eastAsia="仿宋_GB2312" w:cs="Times New Roman"/>
          <w:sz w:val="32"/>
          <w:szCs w:val="32"/>
        </w:rPr>
        <w:t>带动作用，推动上下游协同开展绿色采购、再生材料替代和碳数据管理，促进产业链绿色转型。</w:t>
      </w:r>
    </w:p>
    <w:p w14:paraId="06E890CA">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3.落实固定资产投资项目碳排放评价</w:t>
      </w:r>
    </w:p>
    <w:p w14:paraId="2307400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深化固定资产投资项目节能审查与碳排放评价衔接，严格落实相关审查要求。推动碳排放评价纳入节能审查环节，强化新建项目碳排放源头管控。研究完善固定资产投资项目碳排放评价技术要求，明确核算边界、基准线和排放因子。对高耗能高排放项目加强碳排放分析评估，强化项目验收阶段碳排放核验。</w:t>
      </w:r>
    </w:p>
    <w:p w14:paraId="682FC0DA">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4.推动碳核算融入建设项目环境影响评价</w:t>
      </w:r>
    </w:p>
    <w:p w14:paraId="0B065E8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深化建设项目环境影响评价与碳排放评价统筹衔接，推进减污降碳协同管控。推动重点建设项目在环评中加强温室气体排放分析，开展碳排放水平预测和环境影响综合评价。完善相关技术要求，推动低碳工艺和减排措施在规划设计阶段前置落实，积累低碳环评实践经验。</w:t>
      </w:r>
    </w:p>
    <w:p w14:paraId="0E648FF9">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49" w:name="_Toc32295"/>
      <w:bookmarkStart w:id="50" w:name="_Toc10135"/>
      <w:bookmarkStart w:id="51" w:name="_Toc10353"/>
      <w:bookmarkStart w:id="52" w:name="_Toc942"/>
      <w:r>
        <w:rPr>
          <w:rStyle w:val="22"/>
          <w:rFonts w:ascii="楷体_GB2312" w:hAnsi="楷体_GB2312" w:eastAsia="楷体_GB2312" w:cs="楷体_GB2312"/>
          <w:b/>
          <w:bCs w:val="0"/>
          <w:color w:val="auto"/>
          <w:szCs w:val="32"/>
          <w14:ligatures w14:val="none"/>
        </w:rPr>
        <w:t>（六）</w:t>
      </w:r>
      <w:r>
        <w:rPr>
          <w:rStyle w:val="22"/>
          <w:rFonts w:hint="eastAsia" w:ascii="楷体_GB2312" w:hAnsi="楷体_GB2312" w:eastAsia="楷体_GB2312" w:cs="楷体_GB2312"/>
          <w:b/>
          <w:bCs w:val="0"/>
          <w:color w:val="auto"/>
          <w:szCs w:val="32"/>
          <w14:ligatures w14:val="none"/>
        </w:rPr>
        <w:t>试点</w:t>
      </w:r>
      <w:r>
        <w:rPr>
          <w:rStyle w:val="22"/>
          <w:rFonts w:ascii="楷体_GB2312" w:hAnsi="楷体_GB2312" w:eastAsia="楷体_GB2312" w:cs="楷体_GB2312"/>
          <w:b/>
          <w:bCs w:val="0"/>
          <w:color w:val="auto"/>
          <w:szCs w:val="32"/>
          <w14:ligatures w14:val="none"/>
        </w:rPr>
        <w:t>产品碳足迹管理</w:t>
      </w:r>
      <w:bookmarkEnd w:id="49"/>
      <w:bookmarkEnd w:id="50"/>
      <w:bookmarkEnd w:id="51"/>
      <w:bookmarkEnd w:id="52"/>
    </w:p>
    <w:p w14:paraId="42F408C4">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1.推进产品碳足迹核算规则与基础能力建设</w:t>
      </w:r>
    </w:p>
    <w:p w14:paraId="270121B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贯彻落实国家和上海市关于产品碳足迹管理体系建设的部署要求，围绕电子信息、高端装备、先进材料、生物医药、时尚消费品等重点产业，推进产品碳足迹核算规则研究和标准衔接。加强产品碳足迹基础数据归集和应用，支持重点企业围绕原材料、关键部件、生产工序、能源结构和运输环节积累本土化数据，支撑市级产品碳足迹数据库建设。</w:t>
      </w:r>
    </w:p>
    <w:p w14:paraId="71775380">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2.提升重点产品绿色低碳竞争力</w:t>
      </w:r>
    </w:p>
    <w:p w14:paraId="09CB568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应对国际绿色贸易规则变化，推进重点产品碳足迹管理，提升企业绿色竞争力。支持企业依据国内外规则开展产品碳足迹评价与认证，引导企业加强全生命周期碳管理，通过原材料替代、工艺优化和用能结构调整降低产品碳排放。推动产品碳足迹管理与绿色金融等政策工具衔接，提升产品绿色附加值和市场适应能力。</w:t>
      </w:r>
    </w:p>
    <w:p w14:paraId="58C34ACA">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3.推进产品碳标识应用和绿色采购衔接</w:t>
      </w:r>
    </w:p>
    <w:p w14:paraId="571907B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产品碳标识和评价结果在政府采购、国有企业采购、园区和商圈等场景中的规范应用，鼓励低碳产品采购和使用范围。引导企业加强绿色低碳供应链管理，带动上下游企业协同推进产品碳足迹管理。探索产品碳足迹评价成果与绿色采购、绿色金融等政策工具衔接，增强市场激励作用。</w:t>
      </w:r>
    </w:p>
    <w:p w14:paraId="764ACE20">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4.引导居民绿色低碳消费</w:t>
      </w:r>
    </w:p>
    <w:p w14:paraId="2ED2941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产品碳足迹在居民绿色低碳消费中的应用，引导消费者优先选择低碳产品，倡导绿色出行和绿色生活方式。结合社区、商圈等场景，探索碳积分、碳账户等激励方式，推动垃圾分类、旧物回收等日常行为转化为可量化的绿色行动。营造全民参与、适度激励的绿色消费氛围，促进消费端与生产端协同减排。</w:t>
      </w:r>
    </w:p>
    <w:p w14:paraId="5F890B5A">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53" w:name="_Toc5391"/>
      <w:bookmarkStart w:id="54" w:name="_Toc1990"/>
      <w:bookmarkStart w:id="55" w:name="_Toc4762"/>
      <w:bookmarkStart w:id="56" w:name="_Toc9484"/>
      <w:r>
        <w:rPr>
          <w:rStyle w:val="22"/>
          <w:rFonts w:ascii="楷体_GB2312" w:hAnsi="楷体_GB2312" w:eastAsia="楷体_GB2312" w:cs="楷体_GB2312"/>
          <w:b/>
          <w:bCs w:val="0"/>
          <w:color w:val="auto"/>
          <w:szCs w:val="32"/>
          <w14:ligatures w14:val="none"/>
        </w:rPr>
        <w:t>（</w:t>
      </w:r>
      <w:r>
        <w:rPr>
          <w:rStyle w:val="22"/>
          <w:rFonts w:hint="eastAsia" w:ascii="楷体_GB2312" w:hAnsi="楷体_GB2312" w:eastAsia="楷体_GB2312" w:cs="楷体_GB2312"/>
          <w:b/>
          <w:bCs w:val="0"/>
          <w:color w:val="auto"/>
          <w:szCs w:val="32"/>
          <w14:ligatures w14:val="none"/>
        </w:rPr>
        <w:t>七</w:t>
      </w:r>
      <w:r>
        <w:rPr>
          <w:rStyle w:val="22"/>
          <w:rFonts w:ascii="楷体_GB2312" w:hAnsi="楷体_GB2312" w:eastAsia="楷体_GB2312" w:cs="楷体_GB2312"/>
          <w:b/>
          <w:bCs w:val="0"/>
          <w:color w:val="auto"/>
          <w:szCs w:val="32"/>
          <w14:ligatures w14:val="none"/>
        </w:rPr>
        <w:t>）</w:t>
      </w:r>
      <w:r>
        <w:rPr>
          <w:rStyle w:val="22"/>
          <w:rFonts w:hint="eastAsia" w:ascii="楷体_GB2312" w:hAnsi="楷体_GB2312" w:eastAsia="楷体_GB2312" w:cs="楷体_GB2312"/>
          <w:b/>
          <w:bCs w:val="0"/>
          <w:color w:val="auto"/>
          <w:szCs w:val="32"/>
          <w14:ligatures w14:val="none"/>
        </w:rPr>
        <w:t>建设</w:t>
      </w:r>
      <w:r>
        <w:rPr>
          <w:rStyle w:val="22"/>
          <w:rFonts w:ascii="楷体_GB2312" w:hAnsi="楷体_GB2312" w:eastAsia="楷体_GB2312" w:cs="楷体_GB2312"/>
          <w:b/>
          <w:bCs w:val="0"/>
          <w:color w:val="auto"/>
          <w:szCs w:val="32"/>
          <w14:ligatures w14:val="none"/>
        </w:rPr>
        <w:t>零碳园区及区域</w:t>
      </w:r>
      <w:bookmarkEnd w:id="53"/>
      <w:bookmarkEnd w:id="54"/>
      <w:bookmarkEnd w:id="55"/>
      <w:bookmarkEnd w:id="56"/>
    </w:p>
    <w:p w14:paraId="27856E56">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1.构建“源网荷储”一体化绿色能源体系</w:t>
      </w:r>
    </w:p>
    <w:p w14:paraId="44E6AFA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统筹园区能源结构优化和清洁能源替代，推动可再生能源规模化开发与就地消纳。支持园区因地制宜布局分布式光伏、生物质能、地热能及工业余热利用设施，推进绿电直供、微电网等建设，提升园区清洁能源供给能力。大力发展虚拟电厂，到“十五五”期末接入容量达到30万千瓦，削峰填谷能力提升至20万千瓦。科学配置新型储能设施，推进氢能、生物质等清洁替代，深化“绿电+绿氢”等应用，形成2万千瓦V2G（车网互动）反向充电能力，提升园区能源系统调节能力，构建清洁低碳、安全高效、灵活互动的园区新型能源体系。</w:t>
      </w:r>
    </w:p>
    <w:p w14:paraId="60ECC440">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2.提升园区资源循环利用效率</w:t>
      </w:r>
    </w:p>
    <w:p w14:paraId="7631A26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健全园区资源节约利用机制，推动原料梯级利用与废弃物再生循环。完善园区废弃物分类、收运、资源化利用和闭环管理体系，鼓励企业间开展“原料—产品—废弃物”互供互通，促进产业共生发展，提升工业固废、余热余压、废气废液等资源化利用效率。优化园区空间布局，推广装配式绿色建筑和绿色建材应用，完善再生资源回收体系，推进“源头减量、过程协同、末端资源化”的无废园区建设。到2030年，全区一般工业固废综合利用率不低于95%。</w:t>
      </w:r>
    </w:p>
    <w:p w14:paraId="692FB9A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3.建设园区数智化能碳管理“新基建”</w:t>
      </w:r>
    </w:p>
    <w:p w14:paraId="66F3430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快建设覆盖重点用能企业的园区能碳管理平台，推进园区能耗在线监测、碳排放核算、负荷预测和智能调度一体化管理。加强组织碳排放、产品碳足迹和供应链排放等数据集成应用，为企业提供数字化碳管理服务。推动园区平台与区级碳管理平台、市级产品碳足迹背景数据库等系统衔接，支撑企业开展组织碳核算、产品碳足迹核算和供应链碳管理。结合物联网、数字孪生、人工智能等技术应用，提升园区碳排放趋势分析、能效调控和运行优化水平。</w:t>
      </w:r>
    </w:p>
    <w:p w14:paraId="1D5EE57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4.探索“产城融合”减排协同与价值转化机制</w:t>
      </w:r>
    </w:p>
    <w:p w14:paraId="5C96E1F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工业园区深度减排为重点，带动周边社区、校区、商圈等区域协同降碳。引导公共机构和商业楼宇通过合同能源管理、绿色建筑改造等方式形成可量化、可核证的减排成效。探索将非工业区域减排量与园区碳抵消、碳中和应用场景衔接，逐步完善区域内部协同减排和价值转化路径。深化校地合作，推动绿色低碳技术中试、示范应用和成果转化，形成多方参与的区域低碳协同发展格局。</w:t>
      </w:r>
    </w:p>
    <w:p w14:paraId="2367E713">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57" w:name="_Toc31340"/>
      <w:bookmarkStart w:id="58" w:name="_Toc18624"/>
      <w:bookmarkStart w:id="59" w:name="_Toc17443"/>
      <w:bookmarkStart w:id="60" w:name="_Toc1791"/>
      <w:r>
        <w:rPr>
          <w:rStyle w:val="22"/>
          <w:rFonts w:ascii="楷体_GB2312" w:hAnsi="楷体_GB2312" w:eastAsia="楷体_GB2312" w:cs="楷体_GB2312"/>
          <w:b/>
          <w:bCs w:val="0"/>
          <w:color w:val="auto"/>
          <w:szCs w:val="32"/>
          <w14:ligatures w14:val="none"/>
        </w:rPr>
        <w:t>（</w:t>
      </w:r>
      <w:r>
        <w:rPr>
          <w:rStyle w:val="22"/>
          <w:rFonts w:hint="eastAsia" w:ascii="楷体_GB2312" w:hAnsi="楷体_GB2312" w:eastAsia="楷体_GB2312" w:cs="楷体_GB2312"/>
          <w:b/>
          <w:bCs w:val="0"/>
          <w:color w:val="auto"/>
          <w:szCs w:val="32"/>
          <w14:ligatures w14:val="none"/>
        </w:rPr>
        <w:t>八</w:t>
      </w:r>
      <w:r>
        <w:rPr>
          <w:rStyle w:val="22"/>
          <w:rFonts w:ascii="楷体_GB2312" w:hAnsi="楷体_GB2312" w:eastAsia="楷体_GB2312" w:cs="楷体_GB2312"/>
          <w:b/>
          <w:bCs w:val="0"/>
          <w:color w:val="auto"/>
          <w:szCs w:val="32"/>
          <w14:ligatures w14:val="none"/>
        </w:rPr>
        <w:t>）数智化赋能节能降碳</w:t>
      </w:r>
      <w:bookmarkEnd w:id="57"/>
      <w:bookmarkEnd w:id="58"/>
      <w:bookmarkEnd w:id="59"/>
      <w:bookmarkEnd w:id="60"/>
    </w:p>
    <w:p w14:paraId="641880AB">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1.夯实绿色低碳数智基础设施底座</w:t>
      </w:r>
    </w:p>
    <w:p w14:paraId="1B0D05E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进智能感知网络和计量监测设施建设，提升能源与碳排放数据实时采集、汇聚和分析能力。支持企业和园区完善能源管理系统、数字孪生等应用，推动能碳数据规范归集、清洗和可视化。加强数据安全共享和开发利用，为能碳核算、产品碳足迹评价和管理决策提供基础支撑。</w:t>
      </w:r>
    </w:p>
    <w:p w14:paraId="5DA72F7A">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2.推动智慧节能诊断与降碳优化</w:t>
      </w:r>
    </w:p>
    <w:p w14:paraId="71D531A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托重点企业和园区能源管理系统，开展基于实时数据的能效诊断、排放分析和运行优化，识别高能耗、高排放环节。运用人工智能和数据分析技术，加强设备能效对标、系统运行分析和能碳关联研判，推动“一企一策”节能降碳优化。支持园区平台集成诊断工具，提升重点用能单元协同识别和优化能力。</w:t>
      </w:r>
    </w:p>
    <w:p w14:paraId="1ADE1DA6">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3.打造数智化绿色低碳治理体系</w:t>
      </w:r>
    </w:p>
    <w:p w14:paraId="56241E4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强化区、街镇、园区多层级能碳数据协同和平台衔接，提升“双控”指标监测、碳预算管理、政策评估和预警分析能力。结合松江大学城科创源等创新资源，推进数智化碳管理应用试点，逐步向工业园区、文旅场景和乡村振兴等领域拓展。引导企业运用数字化手段提升可持续经营和绿色管理水平。</w:t>
      </w:r>
    </w:p>
    <w:p w14:paraId="42AA73B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4.强化重点领域数智设施支撑与低碳应用</w:t>
      </w:r>
    </w:p>
    <w:p w14:paraId="202713B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依托松江智算中心等算力集群资源，强化重点领域数智设施支撑，促进绿色低碳转型。针对算力负荷快速增长趋势，提前加强电网配套和数智设施建设，重点应对单点负荷</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rPr>
        <w:t>带来的承载和运行韧性要求。推进智慧电网建设，探索“算力+能源”协同运行机制，提升数据中心负荷调节能力和可再生能源消纳水平。完善城市交通智慧调度体系，提升公共交通运行效率和居民绿色出行服务水平。推进建筑楼宇设计、建设、运维全过程数字化应用，加强建筑全生命周期碳排放管控。</w:t>
      </w:r>
    </w:p>
    <w:p w14:paraId="162C4F91">
      <w:pPr>
        <w:pStyle w:val="3"/>
        <w:spacing w:line="560" w:lineRule="exact"/>
        <w:ind w:firstLine="643" w:firstLineChars="200"/>
        <w:rPr>
          <w:rFonts w:ascii="Times New Roman" w:hAnsi="Times New Roman" w:cs="Times New Roman"/>
          <w:b w:val="0"/>
          <w:bCs/>
        </w:rPr>
      </w:pPr>
      <w:bookmarkStart w:id="61" w:name="_Toc4549"/>
      <w:bookmarkStart w:id="62" w:name="_Toc6318"/>
      <w:bookmarkStart w:id="63" w:name="_Toc1773"/>
      <w:bookmarkStart w:id="64" w:name="_Toc23475"/>
      <w:r>
        <w:rPr>
          <w:rStyle w:val="22"/>
          <w:rFonts w:ascii="楷体_GB2312" w:hAnsi="楷体_GB2312" w:eastAsia="楷体_GB2312" w:cs="楷体_GB2312"/>
          <w:b/>
          <w:bCs w:val="0"/>
          <w:color w:val="auto"/>
          <w:szCs w:val="32"/>
          <w14:ligatures w14:val="none"/>
        </w:rPr>
        <w:t>（</w:t>
      </w:r>
      <w:r>
        <w:rPr>
          <w:rStyle w:val="22"/>
          <w:rFonts w:hint="eastAsia" w:ascii="楷体_GB2312" w:hAnsi="楷体_GB2312" w:eastAsia="楷体_GB2312" w:cs="楷体_GB2312"/>
          <w:b/>
          <w:bCs w:val="0"/>
          <w:color w:val="auto"/>
          <w:szCs w:val="32"/>
          <w14:ligatures w14:val="none"/>
        </w:rPr>
        <w:t>九</w:t>
      </w:r>
      <w:r>
        <w:rPr>
          <w:rStyle w:val="22"/>
          <w:rFonts w:ascii="楷体_GB2312" w:hAnsi="楷体_GB2312" w:eastAsia="楷体_GB2312" w:cs="楷体_GB2312"/>
          <w:b/>
          <w:bCs w:val="0"/>
          <w:color w:val="auto"/>
          <w:szCs w:val="32"/>
          <w14:ligatures w14:val="none"/>
        </w:rPr>
        <w:t>）强化科技支撑构建全链条低碳技术创新</w:t>
      </w:r>
      <w:bookmarkEnd w:id="61"/>
      <w:bookmarkEnd w:id="62"/>
      <w:bookmarkEnd w:id="63"/>
      <w:bookmarkEnd w:id="64"/>
    </w:p>
    <w:p w14:paraId="3CF5195C">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1.加强绿色低碳技术协同攻关</w:t>
      </w:r>
    </w:p>
    <w:p w14:paraId="21DAB44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发挥松江大学城、高校院所和G60科创走廊创新资源集聚优势，围绕新型电力系统、工业清洁生产、绿色建筑、产品碳足迹、碳捕集利用与封存等重点方向，推进绿色低碳技术协同攻关。依托</w:t>
      </w:r>
      <w:r>
        <w:rPr>
          <w:rFonts w:hint="eastAsia" w:ascii="Times New Roman" w:hAnsi="Times New Roman" w:eastAsia="仿宋_GB2312" w:cs="Times New Roman"/>
          <w:sz w:val="32"/>
          <w:szCs w:val="32"/>
          <w:lang w:eastAsia="zh-CN"/>
        </w:rPr>
        <w:t>松江大学城</w:t>
      </w:r>
      <w:r>
        <w:rPr>
          <w:rFonts w:hint="eastAsia" w:ascii="Times New Roman" w:hAnsi="Times New Roman" w:eastAsia="仿宋_GB2312" w:cs="Times New Roman"/>
          <w:sz w:val="32"/>
          <w:szCs w:val="32"/>
        </w:rPr>
        <w:t>科创源等创新载体，促进技术研发、数据平台和产业应用衔接，推动形成从基础研究、技术开发到示范应用的创新链条。结合实际需求，强化重点技术方向研究和项目储备，提升绿色低碳技术创新能力。</w:t>
      </w:r>
    </w:p>
    <w:p w14:paraId="5E435ADD">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2.推动绿色技术成果转化和示范应用</w:t>
      </w:r>
    </w:p>
    <w:p w14:paraId="5901C446">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依托现有孵化载体、重点园区和创新平台，推动绿色低碳技术成果转化和产业化应用。完善绿色技术遴选、发布和推广机制，促进创新成果与市场需求有效对接。支持绿色低碳技术在重点行业、重点场景和重点园区推广应用，形成一批可复制、可推广的示范项目和应用场景，提升绿色技术转化效能。</w:t>
      </w:r>
    </w:p>
    <w:p w14:paraId="5B78BC5C">
      <w:pPr>
        <w:spacing w:line="560" w:lineRule="exact"/>
        <w:ind w:firstLine="640" w:firstLineChars="200"/>
        <w:rPr>
          <w:rFonts w:hint="eastAsia" w:ascii="Times New Roman" w:hAnsi="Times New Roman" w:eastAsia="仿宋_GB2312" w:cs="Times New Roman"/>
          <w:sz w:val="32"/>
          <w:szCs w:val="32"/>
        </w:rPr>
      </w:pPr>
    </w:p>
    <w:p w14:paraId="33D3922A">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3.完善绿色低碳服务支撑体系</w:t>
      </w:r>
    </w:p>
    <w:p w14:paraId="569B1BD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动碳管理咨询、检验检测认证和绿色金融等专业服务协同发展，完善绿色低碳服务支撑体系。培育和引进第三方服务机构，规范开展碳排放核算、产品碳足迹评价、环境信息披露和ESG评价等业务。加强绿色技术价值评估、标准研究和知识产权保护，提升绿色低碳技术服务能力，为企业绿色转型提供支撑。</w:t>
      </w:r>
    </w:p>
    <w:p w14:paraId="1787E4F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4.构筑绿色低碳人才高地与教育体系</w:t>
      </w:r>
    </w:p>
    <w:p w14:paraId="5368AE9A">
      <w:pPr>
        <w:spacing w:line="56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将绿色低碳理念融入国民教育、职业培训和社会宣传，提升全社会绿色低碳意识。支持中小学开展节能环保和碳足迹科普教育，引导青少年带动家庭形成绿色生活方式。鼓励驻松高校和职业院校结合绿色低碳发展需求优化学科和专业设置，推进产教融合和技能培训。完善多层次人才培养机制，吸引和集聚绿色低碳领域专业人才，为绿色低碳发展提供人才支撑。</w:t>
      </w:r>
    </w:p>
    <w:p w14:paraId="71FF2AFA">
      <w:pPr>
        <w:pStyle w:val="2"/>
        <w:spacing w:line="560" w:lineRule="exact"/>
        <w:ind w:firstLine="643" w:firstLineChars="200"/>
        <w:rPr>
          <w:rFonts w:ascii="Times New Roman" w:hAnsi="Times New Roman" w:cs="Times New Roman"/>
          <w:b/>
          <w:bCs/>
        </w:rPr>
      </w:pPr>
      <w:bookmarkStart w:id="65" w:name="_Toc25693"/>
      <w:bookmarkStart w:id="66" w:name="_Toc2565"/>
      <w:bookmarkStart w:id="67" w:name="_Toc522"/>
      <w:bookmarkStart w:id="68" w:name="_Toc18399"/>
      <w:r>
        <w:rPr>
          <w:rFonts w:hint="eastAsia" w:ascii="Times New Roman" w:hAnsi="Times New Roman" w:cs="Times New Roman"/>
          <w:b/>
          <w:bCs/>
        </w:rPr>
        <w:t>五</w:t>
      </w:r>
      <w:r>
        <w:rPr>
          <w:rFonts w:ascii="Times New Roman" w:hAnsi="Times New Roman" w:cs="Times New Roman"/>
          <w:b/>
          <w:bCs/>
        </w:rPr>
        <w:t>、保障机制</w:t>
      </w:r>
      <w:bookmarkEnd w:id="65"/>
      <w:bookmarkEnd w:id="66"/>
      <w:bookmarkEnd w:id="67"/>
      <w:bookmarkEnd w:id="68"/>
    </w:p>
    <w:p w14:paraId="65209B46">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69" w:name="_Toc5595"/>
      <w:bookmarkStart w:id="70" w:name="_Toc1422"/>
      <w:bookmarkStart w:id="71" w:name="_Toc10544"/>
      <w:bookmarkStart w:id="72" w:name="_Toc30389"/>
      <w:r>
        <w:rPr>
          <w:rStyle w:val="22"/>
          <w:rFonts w:ascii="楷体_GB2312" w:hAnsi="楷体_GB2312" w:eastAsia="楷体_GB2312" w:cs="楷体_GB2312"/>
          <w:b/>
          <w:bCs w:val="0"/>
          <w:color w:val="auto"/>
          <w:szCs w:val="32"/>
          <w14:ligatures w14:val="none"/>
        </w:rPr>
        <w:t>（一）健全目标责任与管理制度体系</w:t>
      </w:r>
      <w:bookmarkEnd w:id="69"/>
      <w:bookmarkEnd w:id="70"/>
      <w:bookmarkEnd w:id="71"/>
      <w:bookmarkEnd w:id="72"/>
    </w:p>
    <w:p w14:paraId="2EF1C05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节能降碳目标分解、项目准入、统计核算、监测评估和考核监督等制度安排，压实部门、街镇、园区和重点企业责任。将节能降碳重点指标纳入相关考核体系，加强年度评估和结果运用。严格落实固定资产投资项目节能审查和碳排放评价要求，强化高耗能高排放项目源头管控。加强统计核算和监测能力建设，提升节能降碳工作规范化、精细化水平。</w:t>
      </w:r>
    </w:p>
    <w:p w14:paraId="0B6CC9BD">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73" w:name="_Toc27646"/>
      <w:bookmarkStart w:id="74" w:name="_Toc2931"/>
      <w:bookmarkStart w:id="75" w:name="_Toc380"/>
      <w:bookmarkStart w:id="76" w:name="_Toc14736"/>
      <w:r>
        <w:rPr>
          <w:rStyle w:val="22"/>
          <w:rFonts w:ascii="楷体_GB2312" w:hAnsi="楷体_GB2312" w:eastAsia="楷体_GB2312" w:cs="楷体_GB2312"/>
          <w:b/>
          <w:bCs w:val="0"/>
          <w:color w:val="auto"/>
          <w:szCs w:val="32"/>
          <w14:ligatures w14:val="none"/>
        </w:rPr>
        <w:t>（二）</w:t>
      </w:r>
      <w:r>
        <w:rPr>
          <w:rStyle w:val="22"/>
          <w:rFonts w:hint="eastAsia" w:ascii="楷体_GB2312" w:hAnsi="楷体_GB2312" w:eastAsia="楷体_GB2312" w:cs="楷体_GB2312"/>
          <w:b/>
          <w:bCs w:val="0"/>
          <w:color w:val="auto"/>
          <w:szCs w:val="32"/>
          <w14:ligatures w14:val="none"/>
        </w:rPr>
        <w:t>加大财政支出与政策引导力度</w:t>
      </w:r>
      <w:bookmarkEnd w:id="73"/>
      <w:bookmarkEnd w:id="74"/>
      <w:bookmarkEnd w:id="75"/>
      <w:bookmarkEnd w:id="76"/>
    </w:p>
    <w:p w14:paraId="6783FC0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统筹用好市区两级财政资金，重点支持绿色工艺改造、节能设备更新、循环经济、绿色建筑和数智化能碳管理等重点领域。完善财政资金使用和绩效管理机制，提高资金配置效率和使用效益。发挥绿色采购政策导向作用，推动低碳产品和服务推广应用，形成支持绿色低碳转型的政策合力。</w:t>
      </w:r>
    </w:p>
    <w:p w14:paraId="4D676983">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77" w:name="_Toc13937"/>
      <w:bookmarkStart w:id="78" w:name="_Toc6837"/>
      <w:bookmarkStart w:id="79" w:name="_Toc2515"/>
      <w:bookmarkStart w:id="80" w:name="_Toc18071"/>
      <w:r>
        <w:rPr>
          <w:rStyle w:val="22"/>
          <w:rFonts w:ascii="楷体_GB2312" w:hAnsi="楷体_GB2312" w:eastAsia="楷体_GB2312" w:cs="楷体_GB2312"/>
          <w:b/>
          <w:bCs w:val="0"/>
          <w:color w:val="auto"/>
          <w:szCs w:val="32"/>
          <w14:ligatures w14:val="none"/>
        </w:rPr>
        <w:t>（三）完善市场化机制与</w:t>
      </w:r>
      <w:r>
        <w:rPr>
          <w:rStyle w:val="22"/>
          <w:rFonts w:hint="eastAsia" w:ascii="楷体_GB2312" w:hAnsi="楷体_GB2312" w:eastAsia="楷体_GB2312" w:cs="楷体_GB2312"/>
          <w:b/>
          <w:bCs w:val="0"/>
          <w:color w:val="auto"/>
          <w:szCs w:val="32"/>
          <w14:ligatures w14:val="none"/>
        </w:rPr>
        <w:t>绿色</w:t>
      </w:r>
      <w:r>
        <w:rPr>
          <w:rStyle w:val="22"/>
          <w:rFonts w:ascii="楷体_GB2312" w:hAnsi="楷体_GB2312" w:eastAsia="楷体_GB2312" w:cs="楷体_GB2312"/>
          <w:b/>
          <w:bCs w:val="0"/>
          <w:color w:val="auto"/>
          <w:szCs w:val="32"/>
          <w14:ligatures w14:val="none"/>
        </w:rPr>
        <w:t>金融</w:t>
      </w:r>
      <w:r>
        <w:rPr>
          <w:rStyle w:val="22"/>
          <w:rFonts w:hint="eastAsia" w:ascii="楷体_GB2312" w:hAnsi="楷体_GB2312" w:eastAsia="楷体_GB2312" w:cs="楷体_GB2312"/>
          <w:b/>
          <w:bCs w:val="0"/>
          <w:color w:val="auto"/>
          <w:szCs w:val="32"/>
          <w14:ligatures w14:val="none"/>
        </w:rPr>
        <w:t>服务</w:t>
      </w:r>
      <w:bookmarkEnd w:id="77"/>
      <w:bookmarkEnd w:id="78"/>
      <w:bookmarkEnd w:id="79"/>
      <w:bookmarkEnd w:id="80"/>
    </w:p>
    <w:p w14:paraId="1347947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挥市场机制作用，支持街镇、园区和企业通过碳市场、绿电绿证交易、合同能源管理等方式提升节能降碳成效。引导金融机构创新绿色信贷、绿色债券、碳资产融资等金融产品，完善绿色低碳项目融资服务。鼓励社会资本参与绿色低碳项目建设，形成多元化、多层次的绿色投融资体系。</w:t>
      </w:r>
    </w:p>
    <w:p w14:paraId="3C168253">
      <w:pPr>
        <w:pStyle w:val="3"/>
        <w:spacing w:line="560" w:lineRule="exact"/>
        <w:ind w:firstLine="643" w:firstLineChars="200"/>
        <w:rPr>
          <w:rStyle w:val="22"/>
          <w:rFonts w:hint="eastAsia" w:ascii="楷体_GB2312" w:hAnsi="楷体_GB2312" w:eastAsia="楷体_GB2312" w:cs="楷体_GB2312"/>
          <w:b/>
          <w:bCs w:val="0"/>
          <w:color w:val="auto"/>
          <w:szCs w:val="32"/>
          <w14:ligatures w14:val="none"/>
        </w:rPr>
      </w:pPr>
      <w:bookmarkStart w:id="81" w:name="_Toc2672"/>
      <w:bookmarkStart w:id="82" w:name="_Toc10958"/>
      <w:bookmarkStart w:id="83" w:name="_Toc3528"/>
      <w:bookmarkStart w:id="84" w:name="_Toc5033"/>
      <w:r>
        <w:rPr>
          <w:rStyle w:val="22"/>
          <w:rFonts w:ascii="楷体_GB2312" w:hAnsi="楷体_GB2312" w:eastAsia="楷体_GB2312" w:cs="楷体_GB2312"/>
          <w:b/>
          <w:bCs w:val="0"/>
          <w:color w:val="auto"/>
          <w:szCs w:val="32"/>
          <w14:ligatures w14:val="none"/>
        </w:rPr>
        <w:t>（四）强化宣传引导与</w:t>
      </w:r>
      <w:r>
        <w:rPr>
          <w:rStyle w:val="22"/>
          <w:rFonts w:hint="eastAsia" w:ascii="楷体_GB2312" w:hAnsi="楷体_GB2312" w:eastAsia="楷体_GB2312" w:cs="楷体_GB2312"/>
          <w:b/>
          <w:bCs w:val="0"/>
          <w:color w:val="auto"/>
          <w:szCs w:val="32"/>
          <w14:ligatures w14:val="none"/>
        </w:rPr>
        <w:t>社会协同共治</w:t>
      </w:r>
      <w:bookmarkEnd w:id="81"/>
      <w:bookmarkEnd w:id="82"/>
      <w:bookmarkEnd w:id="83"/>
      <w:bookmarkEnd w:id="84"/>
    </w:p>
    <w:p w14:paraId="46928AB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节能降碳宣传教育，推动绿色低碳理念融入国民教育、职业培训和社区治理。依托节能宣传周、全国生态日、六五环境日等活动，提高公众参与度和社会认知水平。推进绿色生活创建和社会协同参与，营造全民参与绿色低碳发展的良好氛围。</w:t>
      </w:r>
    </w:p>
    <w:sectPr>
      <w:footerReference r:id="rId5" w:type="default"/>
      <w:pgSz w:w="11906" w:h="16838"/>
      <w:pgMar w:top="2098" w:right="1474" w:bottom="1984" w:left="1587" w:header="851" w:footer="141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7FFAEFF" w:usb1="F9DFFFFF" w:usb2="0000007F" w:usb3="00000000" w:csb0="203F01FF" w:csb1="DFFF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BD1E">
    <w:pPr>
      <w:pStyle w:val="12"/>
      <w:rPr>
        <w:rFonts w:hint="eastAsia"/>
      </w:rPr>
    </w:pPr>
  </w:p>
  <w:p w14:paraId="5E16EB55">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C5F5">
    <w:pPr>
      <w:pStyle w:val="1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81556">
                          <w:pPr>
                            <w:pStyle w:val="1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0181556">
                    <w:pPr>
                      <w:pStyle w:val="1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16A13FAB">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37F3">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F67DA">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2F67DA">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F705585">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1E"/>
    <w:rsid w:val="00000FD1"/>
    <w:rsid w:val="000011A5"/>
    <w:rsid w:val="0000238E"/>
    <w:rsid w:val="00005BDC"/>
    <w:rsid w:val="000152BC"/>
    <w:rsid w:val="000265E5"/>
    <w:rsid w:val="0002662B"/>
    <w:rsid w:val="0003462C"/>
    <w:rsid w:val="0004392A"/>
    <w:rsid w:val="000557CB"/>
    <w:rsid w:val="00081A10"/>
    <w:rsid w:val="00085060"/>
    <w:rsid w:val="00087605"/>
    <w:rsid w:val="00087C57"/>
    <w:rsid w:val="000A7AC2"/>
    <w:rsid w:val="000B0F93"/>
    <w:rsid w:val="000B12D2"/>
    <w:rsid w:val="000B2064"/>
    <w:rsid w:val="000B5D53"/>
    <w:rsid w:val="000C612B"/>
    <w:rsid w:val="000C650A"/>
    <w:rsid w:val="000D0CBE"/>
    <w:rsid w:val="000D222A"/>
    <w:rsid w:val="000E5D87"/>
    <w:rsid w:val="000F5422"/>
    <w:rsid w:val="00123875"/>
    <w:rsid w:val="00133837"/>
    <w:rsid w:val="00136558"/>
    <w:rsid w:val="00140933"/>
    <w:rsid w:val="00141B02"/>
    <w:rsid w:val="00145ED4"/>
    <w:rsid w:val="0014754C"/>
    <w:rsid w:val="00153461"/>
    <w:rsid w:val="00155E09"/>
    <w:rsid w:val="00160C54"/>
    <w:rsid w:val="00166F50"/>
    <w:rsid w:val="00181414"/>
    <w:rsid w:val="00186433"/>
    <w:rsid w:val="001A0DE7"/>
    <w:rsid w:val="001A0E33"/>
    <w:rsid w:val="001B6897"/>
    <w:rsid w:val="001D17FF"/>
    <w:rsid w:val="001D58D6"/>
    <w:rsid w:val="001E0B5A"/>
    <w:rsid w:val="001E2BF6"/>
    <w:rsid w:val="001F606A"/>
    <w:rsid w:val="002045C0"/>
    <w:rsid w:val="00207B35"/>
    <w:rsid w:val="0021074C"/>
    <w:rsid w:val="002179FF"/>
    <w:rsid w:val="00220DA9"/>
    <w:rsid w:val="002235CA"/>
    <w:rsid w:val="002238BF"/>
    <w:rsid w:val="00231E3D"/>
    <w:rsid w:val="002338F0"/>
    <w:rsid w:val="00235E3E"/>
    <w:rsid w:val="002532B7"/>
    <w:rsid w:val="002636B0"/>
    <w:rsid w:val="002657A3"/>
    <w:rsid w:val="00265C7A"/>
    <w:rsid w:val="00272893"/>
    <w:rsid w:val="002779AB"/>
    <w:rsid w:val="00283212"/>
    <w:rsid w:val="00292181"/>
    <w:rsid w:val="00292564"/>
    <w:rsid w:val="00292C8B"/>
    <w:rsid w:val="00293624"/>
    <w:rsid w:val="00294C37"/>
    <w:rsid w:val="002A2075"/>
    <w:rsid w:val="002A4958"/>
    <w:rsid w:val="002A6103"/>
    <w:rsid w:val="002A62F8"/>
    <w:rsid w:val="002B518B"/>
    <w:rsid w:val="002C61E2"/>
    <w:rsid w:val="002C6B37"/>
    <w:rsid w:val="002D36D7"/>
    <w:rsid w:val="0030123B"/>
    <w:rsid w:val="00320C30"/>
    <w:rsid w:val="00321654"/>
    <w:rsid w:val="00324F9F"/>
    <w:rsid w:val="00341CF4"/>
    <w:rsid w:val="00344F19"/>
    <w:rsid w:val="00345EA8"/>
    <w:rsid w:val="00346783"/>
    <w:rsid w:val="00347876"/>
    <w:rsid w:val="00360766"/>
    <w:rsid w:val="00362916"/>
    <w:rsid w:val="00364BA5"/>
    <w:rsid w:val="00375AD3"/>
    <w:rsid w:val="00377076"/>
    <w:rsid w:val="00377CB3"/>
    <w:rsid w:val="003844B4"/>
    <w:rsid w:val="0038491A"/>
    <w:rsid w:val="003916C6"/>
    <w:rsid w:val="003A2A7F"/>
    <w:rsid w:val="003A7F53"/>
    <w:rsid w:val="003C2995"/>
    <w:rsid w:val="003D1D47"/>
    <w:rsid w:val="003F6E02"/>
    <w:rsid w:val="00402B52"/>
    <w:rsid w:val="004243A6"/>
    <w:rsid w:val="00425E4F"/>
    <w:rsid w:val="00447810"/>
    <w:rsid w:val="00452DD8"/>
    <w:rsid w:val="00467FC5"/>
    <w:rsid w:val="0048131E"/>
    <w:rsid w:val="004867EC"/>
    <w:rsid w:val="004C2AC8"/>
    <w:rsid w:val="004C2E5D"/>
    <w:rsid w:val="004D272F"/>
    <w:rsid w:val="004D33E1"/>
    <w:rsid w:val="004F195D"/>
    <w:rsid w:val="00520BAD"/>
    <w:rsid w:val="0052176F"/>
    <w:rsid w:val="00524578"/>
    <w:rsid w:val="00526BAB"/>
    <w:rsid w:val="005301AE"/>
    <w:rsid w:val="005603B3"/>
    <w:rsid w:val="00561DE3"/>
    <w:rsid w:val="0056385B"/>
    <w:rsid w:val="00565523"/>
    <w:rsid w:val="00575781"/>
    <w:rsid w:val="00577D06"/>
    <w:rsid w:val="00584239"/>
    <w:rsid w:val="005850BA"/>
    <w:rsid w:val="00586C13"/>
    <w:rsid w:val="00587B0F"/>
    <w:rsid w:val="00590E28"/>
    <w:rsid w:val="005965C6"/>
    <w:rsid w:val="005B3474"/>
    <w:rsid w:val="005C0152"/>
    <w:rsid w:val="005C45A0"/>
    <w:rsid w:val="005C4D2E"/>
    <w:rsid w:val="005D69C0"/>
    <w:rsid w:val="005F0353"/>
    <w:rsid w:val="005F1C67"/>
    <w:rsid w:val="00611CE7"/>
    <w:rsid w:val="00611F86"/>
    <w:rsid w:val="006137F7"/>
    <w:rsid w:val="00620C38"/>
    <w:rsid w:val="006213B7"/>
    <w:rsid w:val="0062154D"/>
    <w:rsid w:val="006230C7"/>
    <w:rsid w:val="0062533A"/>
    <w:rsid w:val="006526B7"/>
    <w:rsid w:val="00660CEB"/>
    <w:rsid w:val="00670385"/>
    <w:rsid w:val="006837BF"/>
    <w:rsid w:val="00690CFC"/>
    <w:rsid w:val="006954B0"/>
    <w:rsid w:val="006970AA"/>
    <w:rsid w:val="00697EF0"/>
    <w:rsid w:val="006A07EC"/>
    <w:rsid w:val="006A59B6"/>
    <w:rsid w:val="006B35B7"/>
    <w:rsid w:val="006B6B3A"/>
    <w:rsid w:val="006C5F0E"/>
    <w:rsid w:val="006C63F3"/>
    <w:rsid w:val="006C708C"/>
    <w:rsid w:val="006E5061"/>
    <w:rsid w:val="006F5509"/>
    <w:rsid w:val="007070BD"/>
    <w:rsid w:val="00710E84"/>
    <w:rsid w:val="00711C1D"/>
    <w:rsid w:val="007147F8"/>
    <w:rsid w:val="00717A0E"/>
    <w:rsid w:val="0073629D"/>
    <w:rsid w:val="00736862"/>
    <w:rsid w:val="007431F3"/>
    <w:rsid w:val="007547D1"/>
    <w:rsid w:val="00755DF0"/>
    <w:rsid w:val="007573CC"/>
    <w:rsid w:val="00761034"/>
    <w:rsid w:val="00763759"/>
    <w:rsid w:val="00766F7F"/>
    <w:rsid w:val="00767752"/>
    <w:rsid w:val="007802F3"/>
    <w:rsid w:val="00781C2C"/>
    <w:rsid w:val="0078759F"/>
    <w:rsid w:val="00794241"/>
    <w:rsid w:val="007A01D0"/>
    <w:rsid w:val="007A1718"/>
    <w:rsid w:val="007A477F"/>
    <w:rsid w:val="007A6015"/>
    <w:rsid w:val="007B1848"/>
    <w:rsid w:val="007B25E6"/>
    <w:rsid w:val="007C02B7"/>
    <w:rsid w:val="007C7BAE"/>
    <w:rsid w:val="007D5481"/>
    <w:rsid w:val="007D5E83"/>
    <w:rsid w:val="007D6A53"/>
    <w:rsid w:val="007E4D68"/>
    <w:rsid w:val="007F0A1D"/>
    <w:rsid w:val="007F0D4D"/>
    <w:rsid w:val="007F1CDB"/>
    <w:rsid w:val="008005E9"/>
    <w:rsid w:val="0082220C"/>
    <w:rsid w:val="0082528F"/>
    <w:rsid w:val="008259D0"/>
    <w:rsid w:val="008338A9"/>
    <w:rsid w:val="00834595"/>
    <w:rsid w:val="00847E89"/>
    <w:rsid w:val="00851F50"/>
    <w:rsid w:val="00852742"/>
    <w:rsid w:val="008545C7"/>
    <w:rsid w:val="0085726C"/>
    <w:rsid w:val="00857F5E"/>
    <w:rsid w:val="00871392"/>
    <w:rsid w:val="008718B4"/>
    <w:rsid w:val="00873999"/>
    <w:rsid w:val="0087423C"/>
    <w:rsid w:val="0087517A"/>
    <w:rsid w:val="00882820"/>
    <w:rsid w:val="00887A02"/>
    <w:rsid w:val="008929DD"/>
    <w:rsid w:val="0089475B"/>
    <w:rsid w:val="008A2F3C"/>
    <w:rsid w:val="008A44E6"/>
    <w:rsid w:val="008A7CE3"/>
    <w:rsid w:val="008C7226"/>
    <w:rsid w:val="008D313A"/>
    <w:rsid w:val="008D5663"/>
    <w:rsid w:val="008E278B"/>
    <w:rsid w:val="008E331E"/>
    <w:rsid w:val="008E6DB7"/>
    <w:rsid w:val="008F35B0"/>
    <w:rsid w:val="008F50D9"/>
    <w:rsid w:val="0090139E"/>
    <w:rsid w:val="0090344D"/>
    <w:rsid w:val="009051A2"/>
    <w:rsid w:val="009148AB"/>
    <w:rsid w:val="0092177B"/>
    <w:rsid w:val="009354C2"/>
    <w:rsid w:val="0094153A"/>
    <w:rsid w:val="009507CF"/>
    <w:rsid w:val="00953493"/>
    <w:rsid w:val="0095746B"/>
    <w:rsid w:val="0096316E"/>
    <w:rsid w:val="009648BB"/>
    <w:rsid w:val="0098006A"/>
    <w:rsid w:val="009803B7"/>
    <w:rsid w:val="00981B56"/>
    <w:rsid w:val="009908E2"/>
    <w:rsid w:val="009A75C0"/>
    <w:rsid w:val="009B3104"/>
    <w:rsid w:val="009B3722"/>
    <w:rsid w:val="009B4B33"/>
    <w:rsid w:val="009B54D9"/>
    <w:rsid w:val="009B5623"/>
    <w:rsid w:val="009D3B30"/>
    <w:rsid w:val="009D4D0D"/>
    <w:rsid w:val="009E1C4D"/>
    <w:rsid w:val="009F4601"/>
    <w:rsid w:val="009F4E88"/>
    <w:rsid w:val="00A02DBA"/>
    <w:rsid w:val="00A03A65"/>
    <w:rsid w:val="00A1151E"/>
    <w:rsid w:val="00A237B1"/>
    <w:rsid w:val="00A23808"/>
    <w:rsid w:val="00A2573F"/>
    <w:rsid w:val="00A41681"/>
    <w:rsid w:val="00A533A1"/>
    <w:rsid w:val="00A54886"/>
    <w:rsid w:val="00A5729F"/>
    <w:rsid w:val="00A61F89"/>
    <w:rsid w:val="00A75170"/>
    <w:rsid w:val="00A7564F"/>
    <w:rsid w:val="00A8434A"/>
    <w:rsid w:val="00A86A81"/>
    <w:rsid w:val="00A9183D"/>
    <w:rsid w:val="00AA0060"/>
    <w:rsid w:val="00AA559B"/>
    <w:rsid w:val="00AC1133"/>
    <w:rsid w:val="00AC43A2"/>
    <w:rsid w:val="00AC7C7F"/>
    <w:rsid w:val="00AD688A"/>
    <w:rsid w:val="00AF3497"/>
    <w:rsid w:val="00AF5DDC"/>
    <w:rsid w:val="00AF6D8D"/>
    <w:rsid w:val="00B1113D"/>
    <w:rsid w:val="00B11C6B"/>
    <w:rsid w:val="00B16D32"/>
    <w:rsid w:val="00B26A17"/>
    <w:rsid w:val="00B30823"/>
    <w:rsid w:val="00B34044"/>
    <w:rsid w:val="00B40D84"/>
    <w:rsid w:val="00B51646"/>
    <w:rsid w:val="00B51944"/>
    <w:rsid w:val="00B54D01"/>
    <w:rsid w:val="00B56711"/>
    <w:rsid w:val="00B63655"/>
    <w:rsid w:val="00B76409"/>
    <w:rsid w:val="00B81BBA"/>
    <w:rsid w:val="00BC0D75"/>
    <w:rsid w:val="00BC68DE"/>
    <w:rsid w:val="00BD6C11"/>
    <w:rsid w:val="00BE0D7B"/>
    <w:rsid w:val="00BE4E63"/>
    <w:rsid w:val="00BF5FA1"/>
    <w:rsid w:val="00C034A3"/>
    <w:rsid w:val="00C04435"/>
    <w:rsid w:val="00C05538"/>
    <w:rsid w:val="00C128E2"/>
    <w:rsid w:val="00C1529F"/>
    <w:rsid w:val="00C16C1C"/>
    <w:rsid w:val="00C3081B"/>
    <w:rsid w:val="00C323B1"/>
    <w:rsid w:val="00C32CC2"/>
    <w:rsid w:val="00C37CEC"/>
    <w:rsid w:val="00C4497A"/>
    <w:rsid w:val="00C54D01"/>
    <w:rsid w:val="00C621A8"/>
    <w:rsid w:val="00C644EF"/>
    <w:rsid w:val="00C6537D"/>
    <w:rsid w:val="00C72F12"/>
    <w:rsid w:val="00C7446C"/>
    <w:rsid w:val="00C765D6"/>
    <w:rsid w:val="00C804AF"/>
    <w:rsid w:val="00C8128B"/>
    <w:rsid w:val="00C83A5F"/>
    <w:rsid w:val="00C83E84"/>
    <w:rsid w:val="00C85623"/>
    <w:rsid w:val="00C90042"/>
    <w:rsid w:val="00C94F9E"/>
    <w:rsid w:val="00CB1E2C"/>
    <w:rsid w:val="00CB23C1"/>
    <w:rsid w:val="00CB281A"/>
    <w:rsid w:val="00CB3716"/>
    <w:rsid w:val="00CB5E5C"/>
    <w:rsid w:val="00CB6509"/>
    <w:rsid w:val="00CB7AF7"/>
    <w:rsid w:val="00CC2482"/>
    <w:rsid w:val="00CD5E8E"/>
    <w:rsid w:val="00CE1646"/>
    <w:rsid w:val="00CF2A61"/>
    <w:rsid w:val="00CF3035"/>
    <w:rsid w:val="00CF6183"/>
    <w:rsid w:val="00D046A6"/>
    <w:rsid w:val="00D06313"/>
    <w:rsid w:val="00D101D7"/>
    <w:rsid w:val="00D13C17"/>
    <w:rsid w:val="00D2362B"/>
    <w:rsid w:val="00D2370A"/>
    <w:rsid w:val="00D41394"/>
    <w:rsid w:val="00D47DDC"/>
    <w:rsid w:val="00D60EE2"/>
    <w:rsid w:val="00D61408"/>
    <w:rsid w:val="00D67526"/>
    <w:rsid w:val="00D67D64"/>
    <w:rsid w:val="00D736A3"/>
    <w:rsid w:val="00D76498"/>
    <w:rsid w:val="00D817F9"/>
    <w:rsid w:val="00D8461B"/>
    <w:rsid w:val="00D90394"/>
    <w:rsid w:val="00D921DC"/>
    <w:rsid w:val="00D953FD"/>
    <w:rsid w:val="00DB05EA"/>
    <w:rsid w:val="00DB271A"/>
    <w:rsid w:val="00DB34D0"/>
    <w:rsid w:val="00DB6300"/>
    <w:rsid w:val="00DE78E6"/>
    <w:rsid w:val="00DF6998"/>
    <w:rsid w:val="00E05F55"/>
    <w:rsid w:val="00E13695"/>
    <w:rsid w:val="00E173E3"/>
    <w:rsid w:val="00E17C9B"/>
    <w:rsid w:val="00E208A0"/>
    <w:rsid w:val="00E250C7"/>
    <w:rsid w:val="00E26129"/>
    <w:rsid w:val="00E27679"/>
    <w:rsid w:val="00E326EF"/>
    <w:rsid w:val="00E4369E"/>
    <w:rsid w:val="00E45461"/>
    <w:rsid w:val="00E51B82"/>
    <w:rsid w:val="00E540BF"/>
    <w:rsid w:val="00E616EA"/>
    <w:rsid w:val="00E751CE"/>
    <w:rsid w:val="00E914F2"/>
    <w:rsid w:val="00E94A22"/>
    <w:rsid w:val="00E952B5"/>
    <w:rsid w:val="00E95981"/>
    <w:rsid w:val="00EA0A43"/>
    <w:rsid w:val="00EA1483"/>
    <w:rsid w:val="00EB5C6F"/>
    <w:rsid w:val="00EB7B75"/>
    <w:rsid w:val="00EC3928"/>
    <w:rsid w:val="00EC43BE"/>
    <w:rsid w:val="00EC5168"/>
    <w:rsid w:val="00EC5923"/>
    <w:rsid w:val="00ED57DF"/>
    <w:rsid w:val="00EF4B7F"/>
    <w:rsid w:val="00EF58D3"/>
    <w:rsid w:val="00EF6C06"/>
    <w:rsid w:val="00EF6C4D"/>
    <w:rsid w:val="00F0208A"/>
    <w:rsid w:val="00F03929"/>
    <w:rsid w:val="00F05EA2"/>
    <w:rsid w:val="00F128DA"/>
    <w:rsid w:val="00F26B63"/>
    <w:rsid w:val="00F36F03"/>
    <w:rsid w:val="00F45372"/>
    <w:rsid w:val="00F45974"/>
    <w:rsid w:val="00F46C3B"/>
    <w:rsid w:val="00F5096E"/>
    <w:rsid w:val="00F51AF7"/>
    <w:rsid w:val="00F5546C"/>
    <w:rsid w:val="00F5716A"/>
    <w:rsid w:val="00F60049"/>
    <w:rsid w:val="00F675BC"/>
    <w:rsid w:val="00F72680"/>
    <w:rsid w:val="00F7387F"/>
    <w:rsid w:val="00F8401C"/>
    <w:rsid w:val="00F876AC"/>
    <w:rsid w:val="00F95D0E"/>
    <w:rsid w:val="00FA3AE0"/>
    <w:rsid w:val="00FB2475"/>
    <w:rsid w:val="00FB3B2C"/>
    <w:rsid w:val="00FC2B8F"/>
    <w:rsid w:val="00FC35BC"/>
    <w:rsid w:val="00FC464D"/>
    <w:rsid w:val="00FC6979"/>
    <w:rsid w:val="00FC7B0F"/>
    <w:rsid w:val="00FE0B3B"/>
    <w:rsid w:val="00FE0E6D"/>
    <w:rsid w:val="00FE38AD"/>
    <w:rsid w:val="00FE4C48"/>
    <w:rsid w:val="00FE5EDC"/>
    <w:rsid w:val="00FF0F42"/>
    <w:rsid w:val="01207B0A"/>
    <w:rsid w:val="013637D1"/>
    <w:rsid w:val="0136557F"/>
    <w:rsid w:val="013B2B96"/>
    <w:rsid w:val="017442FA"/>
    <w:rsid w:val="017F58CA"/>
    <w:rsid w:val="018067FB"/>
    <w:rsid w:val="0187402D"/>
    <w:rsid w:val="019404F8"/>
    <w:rsid w:val="019A35DA"/>
    <w:rsid w:val="019F21E0"/>
    <w:rsid w:val="01A4698D"/>
    <w:rsid w:val="01B36BD0"/>
    <w:rsid w:val="01CF7782"/>
    <w:rsid w:val="01D54643"/>
    <w:rsid w:val="01DD41C2"/>
    <w:rsid w:val="01E70628"/>
    <w:rsid w:val="01E70E4F"/>
    <w:rsid w:val="01EC5C3E"/>
    <w:rsid w:val="01F3521E"/>
    <w:rsid w:val="02076F1C"/>
    <w:rsid w:val="02104022"/>
    <w:rsid w:val="02376869"/>
    <w:rsid w:val="02693733"/>
    <w:rsid w:val="02753E85"/>
    <w:rsid w:val="02902A6D"/>
    <w:rsid w:val="02AD361F"/>
    <w:rsid w:val="02B961CD"/>
    <w:rsid w:val="02CA7C91"/>
    <w:rsid w:val="02CE17E8"/>
    <w:rsid w:val="02E132C9"/>
    <w:rsid w:val="02ED1C6E"/>
    <w:rsid w:val="02F1741B"/>
    <w:rsid w:val="03127926"/>
    <w:rsid w:val="03280EF8"/>
    <w:rsid w:val="03290669"/>
    <w:rsid w:val="03303E11"/>
    <w:rsid w:val="03351867"/>
    <w:rsid w:val="033B50CF"/>
    <w:rsid w:val="033C49A3"/>
    <w:rsid w:val="034D6BB0"/>
    <w:rsid w:val="03561F09"/>
    <w:rsid w:val="03622A5E"/>
    <w:rsid w:val="03655CA8"/>
    <w:rsid w:val="03681C3C"/>
    <w:rsid w:val="036A3DC1"/>
    <w:rsid w:val="037800D1"/>
    <w:rsid w:val="03AF33C1"/>
    <w:rsid w:val="03B920E2"/>
    <w:rsid w:val="03B92498"/>
    <w:rsid w:val="03D64DF8"/>
    <w:rsid w:val="03D96696"/>
    <w:rsid w:val="03E72B61"/>
    <w:rsid w:val="03FC0AFB"/>
    <w:rsid w:val="04141034"/>
    <w:rsid w:val="041B6CAE"/>
    <w:rsid w:val="042E253E"/>
    <w:rsid w:val="045B70AB"/>
    <w:rsid w:val="045F4DED"/>
    <w:rsid w:val="04671EF4"/>
    <w:rsid w:val="04A17C61"/>
    <w:rsid w:val="04A3117E"/>
    <w:rsid w:val="04B2316F"/>
    <w:rsid w:val="04B50314"/>
    <w:rsid w:val="04CE3D21"/>
    <w:rsid w:val="04E92909"/>
    <w:rsid w:val="04EF43C3"/>
    <w:rsid w:val="04F73278"/>
    <w:rsid w:val="0505202E"/>
    <w:rsid w:val="051200B1"/>
    <w:rsid w:val="0515288D"/>
    <w:rsid w:val="051A6F66"/>
    <w:rsid w:val="0530678A"/>
    <w:rsid w:val="05377B18"/>
    <w:rsid w:val="054B2562"/>
    <w:rsid w:val="05663F59"/>
    <w:rsid w:val="05672BE1"/>
    <w:rsid w:val="057A17B3"/>
    <w:rsid w:val="05D36833"/>
    <w:rsid w:val="05D76C05"/>
    <w:rsid w:val="05D963ED"/>
    <w:rsid w:val="05E05ABA"/>
    <w:rsid w:val="05F41565"/>
    <w:rsid w:val="05FB28F4"/>
    <w:rsid w:val="060F639F"/>
    <w:rsid w:val="061076D0"/>
    <w:rsid w:val="06380A36"/>
    <w:rsid w:val="065A1D10"/>
    <w:rsid w:val="065B5A88"/>
    <w:rsid w:val="065E5E2B"/>
    <w:rsid w:val="066B5890"/>
    <w:rsid w:val="06712BB6"/>
    <w:rsid w:val="06764670"/>
    <w:rsid w:val="067B57E2"/>
    <w:rsid w:val="0696261C"/>
    <w:rsid w:val="069A3EBB"/>
    <w:rsid w:val="069F5975"/>
    <w:rsid w:val="06A92474"/>
    <w:rsid w:val="06D753FF"/>
    <w:rsid w:val="06FC2DC7"/>
    <w:rsid w:val="073E1554"/>
    <w:rsid w:val="07585B80"/>
    <w:rsid w:val="07866B35"/>
    <w:rsid w:val="07BF6E05"/>
    <w:rsid w:val="07DD49A7"/>
    <w:rsid w:val="07F341CA"/>
    <w:rsid w:val="07FA6DCC"/>
    <w:rsid w:val="07FC0BA5"/>
    <w:rsid w:val="08191757"/>
    <w:rsid w:val="083311E6"/>
    <w:rsid w:val="08406CE4"/>
    <w:rsid w:val="08432093"/>
    <w:rsid w:val="084A5DB4"/>
    <w:rsid w:val="084A7B62"/>
    <w:rsid w:val="086C5D2B"/>
    <w:rsid w:val="088017D6"/>
    <w:rsid w:val="08D4742C"/>
    <w:rsid w:val="08E51639"/>
    <w:rsid w:val="08FD6362"/>
    <w:rsid w:val="08FF094D"/>
    <w:rsid w:val="09352492"/>
    <w:rsid w:val="09542615"/>
    <w:rsid w:val="09652EA6"/>
    <w:rsid w:val="09774987"/>
    <w:rsid w:val="09886B94"/>
    <w:rsid w:val="09A908B8"/>
    <w:rsid w:val="09CD27F9"/>
    <w:rsid w:val="09D45935"/>
    <w:rsid w:val="09E638BB"/>
    <w:rsid w:val="09FB7366"/>
    <w:rsid w:val="0A0D4EA4"/>
    <w:rsid w:val="0A1B3DF3"/>
    <w:rsid w:val="0A2F212A"/>
    <w:rsid w:val="0A371065"/>
    <w:rsid w:val="0A3960E0"/>
    <w:rsid w:val="0A486323"/>
    <w:rsid w:val="0A8F7AAE"/>
    <w:rsid w:val="0AA25A34"/>
    <w:rsid w:val="0AA3355A"/>
    <w:rsid w:val="0AA3501D"/>
    <w:rsid w:val="0AC34687"/>
    <w:rsid w:val="0AC77AA7"/>
    <w:rsid w:val="0ACF1469"/>
    <w:rsid w:val="0AD35BED"/>
    <w:rsid w:val="0B071D3B"/>
    <w:rsid w:val="0B1526A9"/>
    <w:rsid w:val="0B187AA4"/>
    <w:rsid w:val="0B197AB4"/>
    <w:rsid w:val="0B296418"/>
    <w:rsid w:val="0B7A3CEE"/>
    <w:rsid w:val="0B9D61FB"/>
    <w:rsid w:val="0BB43C70"/>
    <w:rsid w:val="0BBB6595"/>
    <w:rsid w:val="0BD95198"/>
    <w:rsid w:val="0BFC5617"/>
    <w:rsid w:val="0C0D512F"/>
    <w:rsid w:val="0C3856AB"/>
    <w:rsid w:val="0C452B1A"/>
    <w:rsid w:val="0C465358"/>
    <w:rsid w:val="0C5B40EC"/>
    <w:rsid w:val="0C7C448E"/>
    <w:rsid w:val="0C8E2713"/>
    <w:rsid w:val="0C913FB2"/>
    <w:rsid w:val="0CA57A5D"/>
    <w:rsid w:val="0CB13789"/>
    <w:rsid w:val="0CB87790"/>
    <w:rsid w:val="0CBA3508"/>
    <w:rsid w:val="0CC71781"/>
    <w:rsid w:val="0CF167FE"/>
    <w:rsid w:val="0D2E1801"/>
    <w:rsid w:val="0D4C1C87"/>
    <w:rsid w:val="0D5154EF"/>
    <w:rsid w:val="0D58062B"/>
    <w:rsid w:val="0D63594E"/>
    <w:rsid w:val="0D704EDD"/>
    <w:rsid w:val="0D7A4A46"/>
    <w:rsid w:val="0D8B3E92"/>
    <w:rsid w:val="0D8E6743"/>
    <w:rsid w:val="0DBD0513"/>
    <w:rsid w:val="0DBD4932"/>
    <w:rsid w:val="0DC932D7"/>
    <w:rsid w:val="0DCC5712"/>
    <w:rsid w:val="0DD00B0A"/>
    <w:rsid w:val="0DD60E6A"/>
    <w:rsid w:val="0DD73C46"/>
    <w:rsid w:val="0DE60DCF"/>
    <w:rsid w:val="0DEB76F2"/>
    <w:rsid w:val="0DFE11D3"/>
    <w:rsid w:val="0E2230B3"/>
    <w:rsid w:val="0E24462C"/>
    <w:rsid w:val="0E2D36D6"/>
    <w:rsid w:val="0E3270CE"/>
    <w:rsid w:val="0E6227DA"/>
    <w:rsid w:val="0E651252"/>
    <w:rsid w:val="0E87741A"/>
    <w:rsid w:val="0E9E69EA"/>
    <w:rsid w:val="0EB775D4"/>
    <w:rsid w:val="0ED40186"/>
    <w:rsid w:val="0ED43145"/>
    <w:rsid w:val="0EDB32C2"/>
    <w:rsid w:val="0EE83D6C"/>
    <w:rsid w:val="0EEA6919"/>
    <w:rsid w:val="0EF40828"/>
    <w:rsid w:val="0F030974"/>
    <w:rsid w:val="0F0A6605"/>
    <w:rsid w:val="0F124A93"/>
    <w:rsid w:val="0F1D1B2D"/>
    <w:rsid w:val="0F20786F"/>
    <w:rsid w:val="0F2F1860"/>
    <w:rsid w:val="0F607C6B"/>
    <w:rsid w:val="0F7B6853"/>
    <w:rsid w:val="0F8004BB"/>
    <w:rsid w:val="0F8B118C"/>
    <w:rsid w:val="0FBC30F4"/>
    <w:rsid w:val="0FBD50BE"/>
    <w:rsid w:val="0FC0066A"/>
    <w:rsid w:val="0FC4644C"/>
    <w:rsid w:val="0FCE2E27"/>
    <w:rsid w:val="0FF30ADF"/>
    <w:rsid w:val="0FF46D31"/>
    <w:rsid w:val="10066A65"/>
    <w:rsid w:val="101051ED"/>
    <w:rsid w:val="10280789"/>
    <w:rsid w:val="103510F8"/>
    <w:rsid w:val="10354C54"/>
    <w:rsid w:val="10401F77"/>
    <w:rsid w:val="10452DA1"/>
    <w:rsid w:val="10686EC2"/>
    <w:rsid w:val="1070093E"/>
    <w:rsid w:val="10784E51"/>
    <w:rsid w:val="108A1444"/>
    <w:rsid w:val="109866AA"/>
    <w:rsid w:val="10CB7366"/>
    <w:rsid w:val="10CC380A"/>
    <w:rsid w:val="10F22B45"/>
    <w:rsid w:val="10F6011B"/>
    <w:rsid w:val="111D0761"/>
    <w:rsid w:val="11203B56"/>
    <w:rsid w:val="1134315E"/>
    <w:rsid w:val="113A4C18"/>
    <w:rsid w:val="11457FEC"/>
    <w:rsid w:val="11691059"/>
    <w:rsid w:val="118916FB"/>
    <w:rsid w:val="118C11EC"/>
    <w:rsid w:val="1191235E"/>
    <w:rsid w:val="11B06C88"/>
    <w:rsid w:val="11B20C52"/>
    <w:rsid w:val="11B36778"/>
    <w:rsid w:val="11B5429E"/>
    <w:rsid w:val="11C005AF"/>
    <w:rsid w:val="11D02E86"/>
    <w:rsid w:val="11E903EC"/>
    <w:rsid w:val="11F875C4"/>
    <w:rsid w:val="11FA43A7"/>
    <w:rsid w:val="120D40DA"/>
    <w:rsid w:val="122B3166"/>
    <w:rsid w:val="12311C0F"/>
    <w:rsid w:val="12597320"/>
    <w:rsid w:val="126006AE"/>
    <w:rsid w:val="128A63ED"/>
    <w:rsid w:val="129B7938"/>
    <w:rsid w:val="129C545E"/>
    <w:rsid w:val="129C6D40"/>
    <w:rsid w:val="12BC78AF"/>
    <w:rsid w:val="12C65A18"/>
    <w:rsid w:val="12E34E3B"/>
    <w:rsid w:val="12E56E05"/>
    <w:rsid w:val="12FA4A5D"/>
    <w:rsid w:val="13313DF9"/>
    <w:rsid w:val="133236CD"/>
    <w:rsid w:val="133B6A25"/>
    <w:rsid w:val="13420CEC"/>
    <w:rsid w:val="13451652"/>
    <w:rsid w:val="13477178"/>
    <w:rsid w:val="135B0E75"/>
    <w:rsid w:val="1360648C"/>
    <w:rsid w:val="13936861"/>
    <w:rsid w:val="13B3480E"/>
    <w:rsid w:val="13BA3984"/>
    <w:rsid w:val="13CF0812"/>
    <w:rsid w:val="13D33102"/>
    <w:rsid w:val="13DC30B1"/>
    <w:rsid w:val="13E7095B"/>
    <w:rsid w:val="13E946D3"/>
    <w:rsid w:val="13E96481"/>
    <w:rsid w:val="13F35552"/>
    <w:rsid w:val="13F75CCB"/>
    <w:rsid w:val="13FA68E0"/>
    <w:rsid w:val="140504E8"/>
    <w:rsid w:val="140C0A40"/>
    <w:rsid w:val="14101C60"/>
    <w:rsid w:val="14215C1B"/>
    <w:rsid w:val="142B4CEC"/>
    <w:rsid w:val="14353475"/>
    <w:rsid w:val="14373691"/>
    <w:rsid w:val="14431033"/>
    <w:rsid w:val="14507177"/>
    <w:rsid w:val="14551D69"/>
    <w:rsid w:val="1461070D"/>
    <w:rsid w:val="146E4BD8"/>
    <w:rsid w:val="14700951"/>
    <w:rsid w:val="147B7751"/>
    <w:rsid w:val="14900FF3"/>
    <w:rsid w:val="14A32AD4"/>
    <w:rsid w:val="14AA3E63"/>
    <w:rsid w:val="14AF76CB"/>
    <w:rsid w:val="14C00383"/>
    <w:rsid w:val="14CB202B"/>
    <w:rsid w:val="14D47131"/>
    <w:rsid w:val="14D7452C"/>
    <w:rsid w:val="14E07884"/>
    <w:rsid w:val="14F47F34"/>
    <w:rsid w:val="150D2643"/>
    <w:rsid w:val="1525798D"/>
    <w:rsid w:val="152F4368"/>
    <w:rsid w:val="153100E0"/>
    <w:rsid w:val="153C5486"/>
    <w:rsid w:val="15415E49"/>
    <w:rsid w:val="1565422D"/>
    <w:rsid w:val="15763D45"/>
    <w:rsid w:val="15962639"/>
    <w:rsid w:val="15997A33"/>
    <w:rsid w:val="15A84FF5"/>
    <w:rsid w:val="15A94E95"/>
    <w:rsid w:val="15AE7982"/>
    <w:rsid w:val="15C34AB0"/>
    <w:rsid w:val="15C7381C"/>
    <w:rsid w:val="15FB06EE"/>
    <w:rsid w:val="160457F4"/>
    <w:rsid w:val="160B6B83"/>
    <w:rsid w:val="16105F47"/>
    <w:rsid w:val="16113955"/>
    <w:rsid w:val="16173286"/>
    <w:rsid w:val="161C0E72"/>
    <w:rsid w:val="16223ECC"/>
    <w:rsid w:val="162C6AF9"/>
    <w:rsid w:val="16322361"/>
    <w:rsid w:val="163D0D06"/>
    <w:rsid w:val="164B6F7F"/>
    <w:rsid w:val="16571DC8"/>
    <w:rsid w:val="165752E8"/>
    <w:rsid w:val="16610551"/>
    <w:rsid w:val="16646293"/>
    <w:rsid w:val="1678332B"/>
    <w:rsid w:val="16941BC7"/>
    <w:rsid w:val="169A6399"/>
    <w:rsid w:val="16B66F43"/>
    <w:rsid w:val="16BA4105"/>
    <w:rsid w:val="16BC2DB5"/>
    <w:rsid w:val="16C242B8"/>
    <w:rsid w:val="16C60CFC"/>
    <w:rsid w:val="16DA0303"/>
    <w:rsid w:val="16ED0036"/>
    <w:rsid w:val="16F20372"/>
    <w:rsid w:val="171750B3"/>
    <w:rsid w:val="172F064F"/>
    <w:rsid w:val="174F484D"/>
    <w:rsid w:val="1767428D"/>
    <w:rsid w:val="176A78D9"/>
    <w:rsid w:val="178650AF"/>
    <w:rsid w:val="17946704"/>
    <w:rsid w:val="17AD5D7D"/>
    <w:rsid w:val="17AD77C6"/>
    <w:rsid w:val="17C1746A"/>
    <w:rsid w:val="17E94CA2"/>
    <w:rsid w:val="17EA0A1A"/>
    <w:rsid w:val="180715CC"/>
    <w:rsid w:val="181810E3"/>
    <w:rsid w:val="18357EE7"/>
    <w:rsid w:val="184E0FA9"/>
    <w:rsid w:val="185B1342"/>
    <w:rsid w:val="189F1804"/>
    <w:rsid w:val="18B232E6"/>
    <w:rsid w:val="18B76B4E"/>
    <w:rsid w:val="18C15C1F"/>
    <w:rsid w:val="18C876D8"/>
    <w:rsid w:val="18CE3E98"/>
    <w:rsid w:val="18ED431E"/>
    <w:rsid w:val="19017DC9"/>
    <w:rsid w:val="19197809"/>
    <w:rsid w:val="192448BE"/>
    <w:rsid w:val="19297FBA"/>
    <w:rsid w:val="19404D95"/>
    <w:rsid w:val="194303E2"/>
    <w:rsid w:val="19436634"/>
    <w:rsid w:val="19600F94"/>
    <w:rsid w:val="196D545F"/>
    <w:rsid w:val="199005F8"/>
    <w:rsid w:val="19983FDD"/>
    <w:rsid w:val="19A5038E"/>
    <w:rsid w:val="19AA3D70"/>
    <w:rsid w:val="19B94B48"/>
    <w:rsid w:val="19C5529B"/>
    <w:rsid w:val="19CD19CF"/>
    <w:rsid w:val="19DD0836"/>
    <w:rsid w:val="19E5593D"/>
    <w:rsid w:val="1A150E38"/>
    <w:rsid w:val="1A192B3F"/>
    <w:rsid w:val="1A304E0A"/>
    <w:rsid w:val="1A310B82"/>
    <w:rsid w:val="1A442B13"/>
    <w:rsid w:val="1A4E5290"/>
    <w:rsid w:val="1A516B2E"/>
    <w:rsid w:val="1A5F124B"/>
    <w:rsid w:val="1A864A2A"/>
    <w:rsid w:val="1A932D34"/>
    <w:rsid w:val="1A937147"/>
    <w:rsid w:val="1AC0092E"/>
    <w:rsid w:val="1ACD08AB"/>
    <w:rsid w:val="1ADF413A"/>
    <w:rsid w:val="1AED4AA9"/>
    <w:rsid w:val="1AEE25CF"/>
    <w:rsid w:val="1AEF6A73"/>
    <w:rsid w:val="1AF776D6"/>
    <w:rsid w:val="1B324BB2"/>
    <w:rsid w:val="1B3A75C2"/>
    <w:rsid w:val="1B593EEC"/>
    <w:rsid w:val="1B7A51FD"/>
    <w:rsid w:val="1B7C7BDB"/>
    <w:rsid w:val="1B7E1BA5"/>
    <w:rsid w:val="1BAF6202"/>
    <w:rsid w:val="1BC7354C"/>
    <w:rsid w:val="1BD143CB"/>
    <w:rsid w:val="1BD6553D"/>
    <w:rsid w:val="1BE85270"/>
    <w:rsid w:val="1BEA0FE8"/>
    <w:rsid w:val="1C085539"/>
    <w:rsid w:val="1C0D1B25"/>
    <w:rsid w:val="1C34578A"/>
    <w:rsid w:val="1C3D380E"/>
    <w:rsid w:val="1C427076"/>
    <w:rsid w:val="1C4F709D"/>
    <w:rsid w:val="1C5E5533"/>
    <w:rsid w:val="1C6E39C8"/>
    <w:rsid w:val="1C744D1F"/>
    <w:rsid w:val="1C7A2DEA"/>
    <w:rsid w:val="1C872CDB"/>
    <w:rsid w:val="1C981A4A"/>
    <w:rsid w:val="1CC40435"/>
    <w:rsid w:val="1CD344FB"/>
    <w:rsid w:val="1CD37CCF"/>
    <w:rsid w:val="1CDF6F1B"/>
    <w:rsid w:val="1CE912A0"/>
    <w:rsid w:val="1D081FED"/>
    <w:rsid w:val="1D17405F"/>
    <w:rsid w:val="1D2C2897"/>
    <w:rsid w:val="1D412E8A"/>
    <w:rsid w:val="1D4E628F"/>
    <w:rsid w:val="1D526E45"/>
    <w:rsid w:val="1D567874"/>
    <w:rsid w:val="1D7F1257"/>
    <w:rsid w:val="1D847A9F"/>
    <w:rsid w:val="1D8A4831"/>
    <w:rsid w:val="1D912D7B"/>
    <w:rsid w:val="1DD844A0"/>
    <w:rsid w:val="1DEC54EC"/>
    <w:rsid w:val="1DFB572F"/>
    <w:rsid w:val="1E3B3D7D"/>
    <w:rsid w:val="1E450758"/>
    <w:rsid w:val="1E4A684B"/>
    <w:rsid w:val="1E4F5A7B"/>
    <w:rsid w:val="1E546BED"/>
    <w:rsid w:val="1E5B7F7C"/>
    <w:rsid w:val="1E7815F7"/>
    <w:rsid w:val="1E9F255E"/>
    <w:rsid w:val="1EB12291"/>
    <w:rsid w:val="1ED63AA6"/>
    <w:rsid w:val="1EF5217E"/>
    <w:rsid w:val="1F234F3D"/>
    <w:rsid w:val="1F417171"/>
    <w:rsid w:val="1F542D27"/>
    <w:rsid w:val="1F5D10A9"/>
    <w:rsid w:val="1F66307C"/>
    <w:rsid w:val="1F833C2E"/>
    <w:rsid w:val="1F8B2AE2"/>
    <w:rsid w:val="1F9C6A9E"/>
    <w:rsid w:val="1FA63478"/>
    <w:rsid w:val="1FB301B8"/>
    <w:rsid w:val="1FC14756"/>
    <w:rsid w:val="1FC87893"/>
    <w:rsid w:val="1FCF54B9"/>
    <w:rsid w:val="1FD46237"/>
    <w:rsid w:val="1FD91AA0"/>
    <w:rsid w:val="1FE12702"/>
    <w:rsid w:val="1FE80E07"/>
    <w:rsid w:val="1FF2330A"/>
    <w:rsid w:val="1FF42436"/>
    <w:rsid w:val="1FFC578E"/>
    <w:rsid w:val="2000527E"/>
    <w:rsid w:val="20174376"/>
    <w:rsid w:val="203211B0"/>
    <w:rsid w:val="20346CD6"/>
    <w:rsid w:val="204D7D98"/>
    <w:rsid w:val="205D622D"/>
    <w:rsid w:val="206F41B2"/>
    <w:rsid w:val="207672EF"/>
    <w:rsid w:val="207B498E"/>
    <w:rsid w:val="20955535"/>
    <w:rsid w:val="20971013"/>
    <w:rsid w:val="20B6593D"/>
    <w:rsid w:val="20BD4F1E"/>
    <w:rsid w:val="20BE0B17"/>
    <w:rsid w:val="20CA3197"/>
    <w:rsid w:val="20D90C8E"/>
    <w:rsid w:val="20E22BD6"/>
    <w:rsid w:val="21091F11"/>
    <w:rsid w:val="210E30BC"/>
    <w:rsid w:val="210E7527"/>
    <w:rsid w:val="211014F1"/>
    <w:rsid w:val="211A411E"/>
    <w:rsid w:val="211B1C44"/>
    <w:rsid w:val="21366A7E"/>
    <w:rsid w:val="21404409"/>
    <w:rsid w:val="21442F49"/>
    <w:rsid w:val="21475AF2"/>
    <w:rsid w:val="214B42D7"/>
    <w:rsid w:val="21635AC5"/>
    <w:rsid w:val="21703D3E"/>
    <w:rsid w:val="219E4D4F"/>
    <w:rsid w:val="21B75E11"/>
    <w:rsid w:val="21CB27F1"/>
    <w:rsid w:val="21DA565B"/>
    <w:rsid w:val="22056B7C"/>
    <w:rsid w:val="221F7512"/>
    <w:rsid w:val="222B4109"/>
    <w:rsid w:val="223C00C4"/>
    <w:rsid w:val="22521696"/>
    <w:rsid w:val="2265761B"/>
    <w:rsid w:val="22673393"/>
    <w:rsid w:val="22754C04"/>
    <w:rsid w:val="227F6D14"/>
    <w:rsid w:val="22A85759"/>
    <w:rsid w:val="22AB307D"/>
    <w:rsid w:val="22D327D6"/>
    <w:rsid w:val="22D5228D"/>
    <w:rsid w:val="22F26762"/>
    <w:rsid w:val="23256DAA"/>
    <w:rsid w:val="233314C7"/>
    <w:rsid w:val="23362D65"/>
    <w:rsid w:val="23754AA7"/>
    <w:rsid w:val="237F37C8"/>
    <w:rsid w:val="238F4A93"/>
    <w:rsid w:val="23953F30"/>
    <w:rsid w:val="23A221A9"/>
    <w:rsid w:val="23A91789"/>
    <w:rsid w:val="23DA1943"/>
    <w:rsid w:val="23F76998"/>
    <w:rsid w:val="23FE7D27"/>
    <w:rsid w:val="2409047A"/>
    <w:rsid w:val="24174945"/>
    <w:rsid w:val="24182387"/>
    <w:rsid w:val="242805EF"/>
    <w:rsid w:val="242D23BA"/>
    <w:rsid w:val="2435301D"/>
    <w:rsid w:val="2455546D"/>
    <w:rsid w:val="24596D0B"/>
    <w:rsid w:val="245C67FB"/>
    <w:rsid w:val="24853FA4"/>
    <w:rsid w:val="24961D0D"/>
    <w:rsid w:val="24973CD7"/>
    <w:rsid w:val="24AF1021"/>
    <w:rsid w:val="24B108F5"/>
    <w:rsid w:val="24B93C4E"/>
    <w:rsid w:val="24C06D8A"/>
    <w:rsid w:val="24C21763"/>
    <w:rsid w:val="24E46F1D"/>
    <w:rsid w:val="251F7F55"/>
    <w:rsid w:val="252A68FA"/>
    <w:rsid w:val="253D4AB1"/>
    <w:rsid w:val="2540611D"/>
    <w:rsid w:val="25520CCD"/>
    <w:rsid w:val="256B319A"/>
    <w:rsid w:val="25BD32CA"/>
    <w:rsid w:val="25CD79B1"/>
    <w:rsid w:val="25D664C0"/>
    <w:rsid w:val="25D868E9"/>
    <w:rsid w:val="25E371D4"/>
    <w:rsid w:val="25E62821"/>
    <w:rsid w:val="2604539D"/>
    <w:rsid w:val="26070462"/>
    <w:rsid w:val="26103D41"/>
    <w:rsid w:val="261C4494"/>
    <w:rsid w:val="262F241A"/>
    <w:rsid w:val="264E03C6"/>
    <w:rsid w:val="264F486A"/>
    <w:rsid w:val="265359DC"/>
    <w:rsid w:val="26551754"/>
    <w:rsid w:val="265A6D6B"/>
    <w:rsid w:val="265C0D35"/>
    <w:rsid w:val="2661634B"/>
    <w:rsid w:val="26657A78"/>
    <w:rsid w:val="26675E1C"/>
    <w:rsid w:val="266A16A4"/>
    <w:rsid w:val="2681079B"/>
    <w:rsid w:val="268F110A"/>
    <w:rsid w:val="2696426F"/>
    <w:rsid w:val="26972907"/>
    <w:rsid w:val="26B2663E"/>
    <w:rsid w:val="26CF1507"/>
    <w:rsid w:val="26DF75F2"/>
    <w:rsid w:val="270F3FF9"/>
    <w:rsid w:val="2728280B"/>
    <w:rsid w:val="272C4BAB"/>
    <w:rsid w:val="27577C10"/>
    <w:rsid w:val="277450D6"/>
    <w:rsid w:val="277B343D"/>
    <w:rsid w:val="27A04C51"/>
    <w:rsid w:val="27DD7C53"/>
    <w:rsid w:val="27F21AE8"/>
    <w:rsid w:val="28036860"/>
    <w:rsid w:val="28255F5E"/>
    <w:rsid w:val="28302A61"/>
    <w:rsid w:val="28665E9B"/>
    <w:rsid w:val="288F35DD"/>
    <w:rsid w:val="28AA3FD9"/>
    <w:rsid w:val="28ED61D9"/>
    <w:rsid w:val="28F54E2E"/>
    <w:rsid w:val="29064F88"/>
    <w:rsid w:val="2908797F"/>
    <w:rsid w:val="290B020C"/>
    <w:rsid w:val="29145589"/>
    <w:rsid w:val="291B6C85"/>
    <w:rsid w:val="295201CD"/>
    <w:rsid w:val="295A5D35"/>
    <w:rsid w:val="295D729E"/>
    <w:rsid w:val="296323DA"/>
    <w:rsid w:val="296D15DA"/>
    <w:rsid w:val="298505A2"/>
    <w:rsid w:val="29883BEF"/>
    <w:rsid w:val="298A3E0B"/>
    <w:rsid w:val="29914387"/>
    <w:rsid w:val="29A7676B"/>
    <w:rsid w:val="29AB625B"/>
    <w:rsid w:val="29AC1FD3"/>
    <w:rsid w:val="29C27101"/>
    <w:rsid w:val="29CC7F7F"/>
    <w:rsid w:val="29CD2BCE"/>
    <w:rsid w:val="29CE021D"/>
    <w:rsid w:val="29D37560"/>
    <w:rsid w:val="29EB2AFB"/>
    <w:rsid w:val="29F64FFC"/>
    <w:rsid w:val="2A001ABE"/>
    <w:rsid w:val="2A135C1B"/>
    <w:rsid w:val="2A385615"/>
    <w:rsid w:val="2A44220C"/>
    <w:rsid w:val="2A500BB0"/>
    <w:rsid w:val="2A5F2BA2"/>
    <w:rsid w:val="2A9860B3"/>
    <w:rsid w:val="2AA607D0"/>
    <w:rsid w:val="2AE17A5A"/>
    <w:rsid w:val="2AE8528D"/>
    <w:rsid w:val="2AFE23BA"/>
    <w:rsid w:val="2B4470C3"/>
    <w:rsid w:val="2B5461BB"/>
    <w:rsid w:val="2B5E554F"/>
    <w:rsid w:val="2B604E23"/>
    <w:rsid w:val="2B653518"/>
    <w:rsid w:val="2B681F2A"/>
    <w:rsid w:val="2B762899"/>
    <w:rsid w:val="2B94641F"/>
    <w:rsid w:val="2BA72A52"/>
    <w:rsid w:val="2BAA0794"/>
    <w:rsid w:val="2C0003B4"/>
    <w:rsid w:val="2C093F4C"/>
    <w:rsid w:val="2C1874AC"/>
    <w:rsid w:val="2C197A3A"/>
    <w:rsid w:val="2C354361"/>
    <w:rsid w:val="2C5B55EB"/>
    <w:rsid w:val="2CA174A1"/>
    <w:rsid w:val="2CA469C2"/>
    <w:rsid w:val="2CA90A4C"/>
    <w:rsid w:val="2CB03B88"/>
    <w:rsid w:val="2CB2345D"/>
    <w:rsid w:val="2CB90C8F"/>
    <w:rsid w:val="2CC82C80"/>
    <w:rsid w:val="2CCD397D"/>
    <w:rsid w:val="2CDE24A4"/>
    <w:rsid w:val="2CE11F94"/>
    <w:rsid w:val="2CFA4E04"/>
    <w:rsid w:val="2D095047"/>
    <w:rsid w:val="2D19172E"/>
    <w:rsid w:val="2D247924"/>
    <w:rsid w:val="2D306690"/>
    <w:rsid w:val="2D3B78F6"/>
    <w:rsid w:val="2D48668A"/>
    <w:rsid w:val="2D5617EF"/>
    <w:rsid w:val="2D686211"/>
    <w:rsid w:val="2D7626DC"/>
    <w:rsid w:val="2D7921CC"/>
    <w:rsid w:val="2D7D4861"/>
    <w:rsid w:val="2D87279C"/>
    <w:rsid w:val="2D885DEC"/>
    <w:rsid w:val="2D8E211C"/>
    <w:rsid w:val="2D9E60D7"/>
    <w:rsid w:val="2DB41456"/>
    <w:rsid w:val="2DB72CF5"/>
    <w:rsid w:val="2DBC359D"/>
    <w:rsid w:val="2DCC054E"/>
    <w:rsid w:val="2DEA4E78"/>
    <w:rsid w:val="2DEF06E0"/>
    <w:rsid w:val="2DEF248E"/>
    <w:rsid w:val="2DF12E9C"/>
    <w:rsid w:val="2E04418C"/>
    <w:rsid w:val="2E0C3040"/>
    <w:rsid w:val="2E144D73"/>
    <w:rsid w:val="2E1E4633"/>
    <w:rsid w:val="2E224612"/>
    <w:rsid w:val="2E3B3926"/>
    <w:rsid w:val="2E4B3B69"/>
    <w:rsid w:val="2E4F0C77"/>
    <w:rsid w:val="2E756E38"/>
    <w:rsid w:val="2E9F2106"/>
    <w:rsid w:val="2EAD550D"/>
    <w:rsid w:val="2EB931C8"/>
    <w:rsid w:val="2EBC4A66"/>
    <w:rsid w:val="2ED3590C"/>
    <w:rsid w:val="2EEB534C"/>
    <w:rsid w:val="2F3C1EA2"/>
    <w:rsid w:val="2F4A3E20"/>
    <w:rsid w:val="2F68699C"/>
    <w:rsid w:val="2F7B222C"/>
    <w:rsid w:val="2F990904"/>
    <w:rsid w:val="2F9B467C"/>
    <w:rsid w:val="2FAF0127"/>
    <w:rsid w:val="2FB83480"/>
    <w:rsid w:val="2FBC0CA1"/>
    <w:rsid w:val="2FDB53C0"/>
    <w:rsid w:val="2FF70277"/>
    <w:rsid w:val="30006BD5"/>
    <w:rsid w:val="301D1345"/>
    <w:rsid w:val="30446AC1"/>
    <w:rsid w:val="305F7D9F"/>
    <w:rsid w:val="307F09F4"/>
    <w:rsid w:val="309061AB"/>
    <w:rsid w:val="30BA1E8B"/>
    <w:rsid w:val="30CC7D78"/>
    <w:rsid w:val="30DD17B8"/>
    <w:rsid w:val="30E6401D"/>
    <w:rsid w:val="30E97669"/>
    <w:rsid w:val="30FC739C"/>
    <w:rsid w:val="314B6E77"/>
    <w:rsid w:val="315A0567"/>
    <w:rsid w:val="315E0057"/>
    <w:rsid w:val="3172765E"/>
    <w:rsid w:val="3183186B"/>
    <w:rsid w:val="31837ABD"/>
    <w:rsid w:val="31DB3455"/>
    <w:rsid w:val="31FE7144"/>
    <w:rsid w:val="32002EBC"/>
    <w:rsid w:val="32332E35"/>
    <w:rsid w:val="32335040"/>
    <w:rsid w:val="32584A65"/>
    <w:rsid w:val="32676A97"/>
    <w:rsid w:val="326E42CA"/>
    <w:rsid w:val="329F26D5"/>
    <w:rsid w:val="32FB3FA8"/>
    <w:rsid w:val="32FF7967"/>
    <w:rsid w:val="333252F7"/>
    <w:rsid w:val="334E7C57"/>
    <w:rsid w:val="33615BDC"/>
    <w:rsid w:val="3369683F"/>
    <w:rsid w:val="336B6A5B"/>
    <w:rsid w:val="336F654B"/>
    <w:rsid w:val="33751688"/>
    <w:rsid w:val="33770F5C"/>
    <w:rsid w:val="33AF4B9A"/>
    <w:rsid w:val="33B757FC"/>
    <w:rsid w:val="33D509D3"/>
    <w:rsid w:val="33DA14EB"/>
    <w:rsid w:val="33E660E2"/>
    <w:rsid w:val="33E83C08"/>
    <w:rsid w:val="33EF143A"/>
    <w:rsid w:val="340541A5"/>
    <w:rsid w:val="340A1DD0"/>
    <w:rsid w:val="342F7A89"/>
    <w:rsid w:val="343D57A7"/>
    <w:rsid w:val="34565015"/>
    <w:rsid w:val="348002E4"/>
    <w:rsid w:val="348B49DE"/>
    <w:rsid w:val="348D3D74"/>
    <w:rsid w:val="348D7A46"/>
    <w:rsid w:val="34AC1D2E"/>
    <w:rsid w:val="34B1049E"/>
    <w:rsid w:val="34F30AB6"/>
    <w:rsid w:val="3502519D"/>
    <w:rsid w:val="350A3514"/>
    <w:rsid w:val="351849C1"/>
    <w:rsid w:val="351F3659"/>
    <w:rsid w:val="3522139B"/>
    <w:rsid w:val="352556BE"/>
    <w:rsid w:val="354632DC"/>
    <w:rsid w:val="35646E1B"/>
    <w:rsid w:val="35773495"/>
    <w:rsid w:val="35926A36"/>
    <w:rsid w:val="359978AF"/>
    <w:rsid w:val="359F0C3E"/>
    <w:rsid w:val="35B91C9C"/>
    <w:rsid w:val="35C10BB4"/>
    <w:rsid w:val="35C91F53"/>
    <w:rsid w:val="35CD57AB"/>
    <w:rsid w:val="35D11918"/>
    <w:rsid w:val="35E93C67"/>
    <w:rsid w:val="35EA7563"/>
    <w:rsid w:val="35ED19A9"/>
    <w:rsid w:val="35F03248"/>
    <w:rsid w:val="35F20D6E"/>
    <w:rsid w:val="36015455"/>
    <w:rsid w:val="36305255"/>
    <w:rsid w:val="3639699D"/>
    <w:rsid w:val="3651018A"/>
    <w:rsid w:val="366854D4"/>
    <w:rsid w:val="366F0610"/>
    <w:rsid w:val="36A46745"/>
    <w:rsid w:val="36B67FED"/>
    <w:rsid w:val="36CD03FF"/>
    <w:rsid w:val="36F40B16"/>
    <w:rsid w:val="37113475"/>
    <w:rsid w:val="372B71C7"/>
    <w:rsid w:val="378D591E"/>
    <w:rsid w:val="379D15D1"/>
    <w:rsid w:val="379F6232"/>
    <w:rsid w:val="37A442EA"/>
    <w:rsid w:val="37B24C58"/>
    <w:rsid w:val="37D01583"/>
    <w:rsid w:val="37D921E5"/>
    <w:rsid w:val="37EA43F2"/>
    <w:rsid w:val="37FC58DA"/>
    <w:rsid w:val="38172D0E"/>
    <w:rsid w:val="382F44FB"/>
    <w:rsid w:val="38390ED6"/>
    <w:rsid w:val="38521F98"/>
    <w:rsid w:val="386F66A6"/>
    <w:rsid w:val="3894610C"/>
    <w:rsid w:val="389E342F"/>
    <w:rsid w:val="38CD7870"/>
    <w:rsid w:val="38D64977"/>
    <w:rsid w:val="38DD3F57"/>
    <w:rsid w:val="38E075A3"/>
    <w:rsid w:val="38E86458"/>
    <w:rsid w:val="38F73193"/>
    <w:rsid w:val="390109DF"/>
    <w:rsid w:val="390F1C37"/>
    <w:rsid w:val="391159AF"/>
    <w:rsid w:val="393D0552"/>
    <w:rsid w:val="39447B32"/>
    <w:rsid w:val="394538AA"/>
    <w:rsid w:val="394C76D0"/>
    <w:rsid w:val="39537D75"/>
    <w:rsid w:val="396616A0"/>
    <w:rsid w:val="396C6330"/>
    <w:rsid w:val="396E1053"/>
    <w:rsid w:val="397B107A"/>
    <w:rsid w:val="397F3D71"/>
    <w:rsid w:val="3986014B"/>
    <w:rsid w:val="39924D42"/>
    <w:rsid w:val="39953421"/>
    <w:rsid w:val="39AB5E03"/>
    <w:rsid w:val="39B75184"/>
    <w:rsid w:val="39CA022D"/>
    <w:rsid w:val="39F03816"/>
    <w:rsid w:val="39F95ACD"/>
    <w:rsid w:val="3A4818A4"/>
    <w:rsid w:val="3A6E7B98"/>
    <w:rsid w:val="3A7A7AD1"/>
    <w:rsid w:val="3A9E3272"/>
    <w:rsid w:val="3AAA2B43"/>
    <w:rsid w:val="3AFF6407"/>
    <w:rsid w:val="3B024B1C"/>
    <w:rsid w:val="3B0A4035"/>
    <w:rsid w:val="3B117EE8"/>
    <w:rsid w:val="3B2D3845"/>
    <w:rsid w:val="3B424545"/>
    <w:rsid w:val="3B567FF1"/>
    <w:rsid w:val="3B6E533A"/>
    <w:rsid w:val="3B895CD0"/>
    <w:rsid w:val="3B8B7C9A"/>
    <w:rsid w:val="3B9A7EDD"/>
    <w:rsid w:val="3BCD19E7"/>
    <w:rsid w:val="3C047A4D"/>
    <w:rsid w:val="3C063615"/>
    <w:rsid w:val="3C1732DC"/>
    <w:rsid w:val="3C2D2B00"/>
    <w:rsid w:val="3C4A1903"/>
    <w:rsid w:val="3C5938F5"/>
    <w:rsid w:val="3C9C1A33"/>
    <w:rsid w:val="3CAE4647"/>
    <w:rsid w:val="3CB054DF"/>
    <w:rsid w:val="3CDD2778"/>
    <w:rsid w:val="3CE3409D"/>
    <w:rsid w:val="3CF03B2D"/>
    <w:rsid w:val="3D037D04"/>
    <w:rsid w:val="3D1B66CA"/>
    <w:rsid w:val="3D2C1009"/>
    <w:rsid w:val="3D402D06"/>
    <w:rsid w:val="3D6362DE"/>
    <w:rsid w:val="3D65451B"/>
    <w:rsid w:val="3D6F0EF6"/>
    <w:rsid w:val="3D6F752E"/>
    <w:rsid w:val="3D7B3D3F"/>
    <w:rsid w:val="3D8C7CFA"/>
    <w:rsid w:val="3D931088"/>
    <w:rsid w:val="3D960B78"/>
    <w:rsid w:val="3DA27781"/>
    <w:rsid w:val="3DBA6615"/>
    <w:rsid w:val="3DBB238D"/>
    <w:rsid w:val="3DC079A3"/>
    <w:rsid w:val="3DE03BA2"/>
    <w:rsid w:val="3E142DAC"/>
    <w:rsid w:val="3E295549"/>
    <w:rsid w:val="3E2B39BD"/>
    <w:rsid w:val="3E2C5C98"/>
    <w:rsid w:val="3E2E0DB1"/>
    <w:rsid w:val="3E2E7003"/>
    <w:rsid w:val="3E3143FD"/>
    <w:rsid w:val="3E497999"/>
    <w:rsid w:val="3E6842C3"/>
    <w:rsid w:val="3E772758"/>
    <w:rsid w:val="3EDE4585"/>
    <w:rsid w:val="3EDE6333"/>
    <w:rsid w:val="3EEB546E"/>
    <w:rsid w:val="3EF21DDE"/>
    <w:rsid w:val="3EF43DA9"/>
    <w:rsid w:val="3F0C1354"/>
    <w:rsid w:val="3F103E47"/>
    <w:rsid w:val="3F1B30E3"/>
    <w:rsid w:val="3F213F04"/>
    <w:rsid w:val="3F367F1D"/>
    <w:rsid w:val="3F454604"/>
    <w:rsid w:val="3F485EA2"/>
    <w:rsid w:val="3F4E170B"/>
    <w:rsid w:val="3F5376E9"/>
    <w:rsid w:val="3F60143E"/>
    <w:rsid w:val="3F8844F1"/>
    <w:rsid w:val="3FA06623"/>
    <w:rsid w:val="3FA550A3"/>
    <w:rsid w:val="3FAC01DF"/>
    <w:rsid w:val="3FAF7CCF"/>
    <w:rsid w:val="3FC03C8B"/>
    <w:rsid w:val="3FE536F1"/>
    <w:rsid w:val="400B3158"/>
    <w:rsid w:val="400C5122"/>
    <w:rsid w:val="401D732F"/>
    <w:rsid w:val="40267F92"/>
    <w:rsid w:val="40273D0A"/>
    <w:rsid w:val="4034372C"/>
    <w:rsid w:val="403501D5"/>
    <w:rsid w:val="408C3F57"/>
    <w:rsid w:val="40A2464F"/>
    <w:rsid w:val="40A37834"/>
    <w:rsid w:val="40C33A32"/>
    <w:rsid w:val="40C652D1"/>
    <w:rsid w:val="40CA7369"/>
    <w:rsid w:val="40E165AE"/>
    <w:rsid w:val="40E77274"/>
    <w:rsid w:val="411C1395"/>
    <w:rsid w:val="4126497D"/>
    <w:rsid w:val="41306914"/>
    <w:rsid w:val="41436921"/>
    <w:rsid w:val="414C12B2"/>
    <w:rsid w:val="41597EF3"/>
    <w:rsid w:val="416C5E78"/>
    <w:rsid w:val="41990C37"/>
    <w:rsid w:val="41A35612"/>
    <w:rsid w:val="41A82FDB"/>
    <w:rsid w:val="41BE3263"/>
    <w:rsid w:val="421E57FD"/>
    <w:rsid w:val="423D15C3"/>
    <w:rsid w:val="423F533B"/>
    <w:rsid w:val="42493EF4"/>
    <w:rsid w:val="42664FBD"/>
    <w:rsid w:val="428216CB"/>
    <w:rsid w:val="428C60A6"/>
    <w:rsid w:val="42B45D29"/>
    <w:rsid w:val="42D53EF1"/>
    <w:rsid w:val="42E32228"/>
    <w:rsid w:val="42EA799C"/>
    <w:rsid w:val="430622FC"/>
    <w:rsid w:val="432033BE"/>
    <w:rsid w:val="4331444F"/>
    <w:rsid w:val="4333192F"/>
    <w:rsid w:val="4359067E"/>
    <w:rsid w:val="436F39FE"/>
    <w:rsid w:val="43747266"/>
    <w:rsid w:val="43B14016"/>
    <w:rsid w:val="43BD6E5F"/>
    <w:rsid w:val="43E97C54"/>
    <w:rsid w:val="43F860E9"/>
    <w:rsid w:val="43FA1F6F"/>
    <w:rsid w:val="441E2E72"/>
    <w:rsid w:val="44231FA6"/>
    <w:rsid w:val="4430027A"/>
    <w:rsid w:val="443A225E"/>
    <w:rsid w:val="444E3F5B"/>
    <w:rsid w:val="4451295E"/>
    <w:rsid w:val="445175A7"/>
    <w:rsid w:val="445A46AE"/>
    <w:rsid w:val="447137A5"/>
    <w:rsid w:val="4484172B"/>
    <w:rsid w:val="448740F3"/>
    <w:rsid w:val="449C6A74"/>
    <w:rsid w:val="44AB6CB7"/>
    <w:rsid w:val="44BA339E"/>
    <w:rsid w:val="44BE2144"/>
    <w:rsid w:val="44C32ED5"/>
    <w:rsid w:val="44DB760A"/>
    <w:rsid w:val="44E623E5"/>
    <w:rsid w:val="44FC7513"/>
    <w:rsid w:val="450D1720"/>
    <w:rsid w:val="451231DA"/>
    <w:rsid w:val="4514485C"/>
    <w:rsid w:val="45246A6A"/>
    <w:rsid w:val="453C3DB3"/>
    <w:rsid w:val="4565582E"/>
    <w:rsid w:val="456D6663"/>
    <w:rsid w:val="457277D5"/>
    <w:rsid w:val="458C4D3B"/>
    <w:rsid w:val="45965BB9"/>
    <w:rsid w:val="45AF3CA8"/>
    <w:rsid w:val="45C06792"/>
    <w:rsid w:val="45CA3DA7"/>
    <w:rsid w:val="45F60406"/>
    <w:rsid w:val="46020698"/>
    <w:rsid w:val="4605689B"/>
    <w:rsid w:val="46072613"/>
    <w:rsid w:val="46115240"/>
    <w:rsid w:val="462A2E06"/>
    <w:rsid w:val="462A6302"/>
    <w:rsid w:val="462D02D9"/>
    <w:rsid w:val="462E5DF2"/>
    <w:rsid w:val="464140D6"/>
    <w:rsid w:val="464949DA"/>
    <w:rsid w:val="464C0026"/>
    <w:rsid w:val="4690085B"/>
    <w:rsid w:val="46A9191C"/>
    <w:rsid w:val="46AE6F33"/>
    <w:rsid w:val="46B00F72"/>
    <w:rsid w:val="46D21C8C"/>
    <w:rsid w:val="46D22C21"/>
    <w:rsid w:val="46E62229"/>
    <w:rsid w:val="46F661E4"/>
    <w:rsid w:val="46FD7572"/>
    <w:rsid w:val="473D3E13"/>
    <w:rsid w:val="474653BD"/>
    <w:rsid w:val="475950F1"/>
    <w:rsid w:val="475A6773"/>
    <w:rsid w:val="475E66C8"/>
    <w:rsid w:val="478F466E"/>
    <w:rsid w:val="47925F0D"/>
    <w:rsid w:val="479E6FA7"/>
    <w:rsid w:val="47A45C40"/>
    <w:rsid w:val="47A63131"/>
    <w:rsid w:val="47A83982"/>
    <w:rsid w:val="47B474C1"/>
    <w:rsid w:val="47CF7161"/>
    <w:rsid w:val="47D93B3C"/>
    <w:rsid w:val="47EF7803"/>
    <w:rsid w:val="482374AD"/>
    <w:rsid w:val="4844307C"/>
    <w:rsid w:val="485B09F4"/>
    <w:rsid w:val="485B27A2"/>
    <w:rsid w:val="485D651B"/>
    <w:rsid w:val="485E2293"/>
    <w:rsid w:val="486C2C02"/>
    <w:rsid w:val="487F0B87"/>
    <w:rsid w:val="48901DD3"/>
    <w:rsid w:val="48CA1AC2"/>
    <w:rsid w:val="48D04527"/>
    <w:rsid w:val="48E46C3C"/>
    <w:rsid w:val="48FC21D7"/>
    <w:rsid w:val="48FD7CFE"/>
    <w:rsid w:val="4905291E"/>
    <w:rsid w:val="491F5EC6"/>
    <w:rsid w:val="4921579A"/>
    <w:rsid w:val="4929464F"/>
    <w:rsid w:val="493020B6"/>
    <w:rsid w:val="49843F7B"/>
    <w:rsid w:val="498F64FC"/>
    <w:rsid w:val="499A379E"/>
    <w:rsid w:val="49B6261E"/>
    <w:rsid w:val="49BF6D61"/>
    <w:rsid w:val="49C25FA8"/>
    <w:rsid w:val="49D547D7"/>
    <w:rsid w:val="49EC224C"/>
    <w:rsid w:val="49EC6192"/>
    <w:rsid w:val="49ED08F3"/>
    <w:rsid w:val="4A176B9D"/>
    <w:rsid w:val="4A304379"/>
    <w:rsid w:val="4A38723F"/>
    <w:rsid w:val="4A46450F"/>
    <w:rsid w:val="4A4C4A99"/>
    <w:rsid w:val="4A58551E"/>
    <w:rsid w:val="4A66196B"/>
    <w:rsid w:val="4AE7656F"/>
    <w:rsid w:val="4B310E2D"/>
    <w:rsid w:val="4B3C24D4"/>
    <w:rsid w:val="4B5A1437"/>
    <w:rsid w:val="4B5E44E4"/>
    <w:rsid w:val="4B616322"/>
    <w:rsid w:val="4B94177D"/>
    <w:rsid w:val="4B9F1B8C"/>
    <w:rsid w:val="4BB87F0C"/>
    <w:rsid w:val="4BEF10FE"/>
    <w:rsid w:val="4BF74ED8"/>
    <w:rsid w:val="4BFF5B3B"/>
    <w:rsid w:val="4C2832E3"/>
    <w:rsid w:val="4C327CBE"/>
    <w:rsid w:val="4C46376A"/>
    <w:rsid w:val="4C6C1422"/>
    <w:rsid w:val="4C8147A2"/>
    <w:rsid w:val="4C830758"/>
    <w:rsid w:val="4C885B30"/>
    <w:rsid w:val="4C915800"/>
    <w:rsid w:val="4C982217"/>
    <w:rsid w:val="4CA706AC"/>
    <w:rsid w:val="4CAA3CF8"/>
    <w:rsid w:val="4CD56315"/>
    <w:rsid w:val="4CDB0356"/>
    <w:rsid w:val="4CDD7C2A"/>
    <w:rsid w:val="4CEF795D"/>
    <w:rsid w:val="4D090A1F"/>
    <w:rsid w:val="4D297313"/>
    <w:rsid w:val="4D3857A8"/>
    <w:rsid w:val="4D4976F7"/>
    <w:rsid w:val="4D4B54DB"/>
    <w:rsid w:val="4D53613E"/>
    <w:rsid w:val="4D65092C"/>
    <w:rsid w:val="4D697710"/>
    <w:rsid w:val="4D7A36CB"/>
    <w:rsid w:val="4D901140"/>
    <w:rsid w:val="4DA22C22"/>
    <w:rsid w:val="4DA70A60"/>
    <w:rsid w:val="4DB50BA7"/>
    <w:rsid w:val="4DBC1F35"/>
    <w:rsid w:val="4DC1754C"/>
    <w:rsid w:val="4DD17574"/>
    <w:rsid w:val="4DEE0FB0"/>
    <w:rsid w:val="4E0709A1"/>
    <w:rsid w:val="4E151645"/>
    <w:rsid w:val="4E1539D5"/>
    <w:rsid w:val="4E353A96"/>
    <w:rsid w:val="4E6D3230"/>
    <w:rsid w:val="4E7C16C5"/>
    <w:rsid w:val="4E7E7439"/>
    <w:rsid w:val="4E8567CB"/>
    <w:rsid w:val="4E86506C"/>
    <w:rsid w:val="4E9407BC"/>
    <w:rsid w:val="4E9702AC"/>
    <w:rsid w:val="4EBD4C11"/>
    <w:rsid w:val="4EC70B92"/>
    <w:rsid w:val="4ECC7F56"/>
    <w:rsid w:val="4EE07EA5"/>
    <w:rsid w:val="4EE554BC"/>
    <w:rsid w:val="4EFB4CDF"/>
    <w:rsid w:val="4F3B50DC"/>
    <w:rsid w:val="4F5A7C58"/>
    <w:rsid w:val="4FB355BA"/>
    <w:rsid w:val="4FBC446F"/>
    <w:rsid w:val="4FCE4B69"/>
    <w:rsid w:val="50210776"/>
    <w:rsid w:val="502142D2"/>
    <w:rsid w:val="502B3FFD"/>
    <w:rsid w:val="502D3DF8"/>
    <w:rsid w:val="508C1F90"/>
    <w:rsid w:val="508D7BB9"/>
    <w:rsid w:val="509A220C"/>
    <w:rsid w:val="50AD025B"/>
    <w:rsid w:val="50D17AA6"/>
    <w:rsid w:val="50DD28EE"/>
    <w:rsid w:val="50F6575E"/>
    <w:rsid w:val="50F73284"/>
    <w:rsid w:val="50FB4B23"/>
    <w:rsid w:val="50FC089B"/>
    <w:rsid w:val="510E0CFA"/>
    <w:rsid w:val="5116195C"/>
    <w:rsid w:val="51183927"/>
    <w:rsid w:val="511D0F3D"/>
    <w:rsid w:val="5144296E"/>
    <w:rsid w:val="51453FF0"/>
    <w:rsid w:val="515E1484"/>
    <w:rsid w:val="51646B6C"/>
    <w:rsid w:val="517D19DC"/>
    <w:rsid w:val="51984A67"/>
    <w:rsid w:val="519D6281"/>
    <w:rsid w:val="51A056CA"/>
    <w:rsid w:val="51B00003"/>
    <w:rsid w:val="51CE66DB"/>
    <w:rsid w:val="51E101BC"/>
    <w:rsid w:val="51E9259B"/>
    <w:rsid w:val="51F13387"/>
    <w:rsid w:val="520B6FE7"/>
    <w:rsid w:val="5226042C"/>
    <w:rsid w:val="522A54C3"/>
    <w:rsid w:val="522B768A"/>
    <w:rsid w:val="524569C0"/>
    <w:rsid w:val="5248023B"/>
    <w:rsid w:val="525941F7"/>
    <w:rsid w:val="525A1D1D"/>
    <w:rsid w:val="52750905"/>
    <w:rsid w:val="52845CE5"/>
    <w:rsid w:val="52974D1F"/>
    <w:rsid w:val="529A036B"/>
    <w:rsid w:val="529A44FE"/>
    <w:rsid w:val="52A7651D"/>
    <w:rsid w:val="52CA29FF"/>
    <w:rsid w:val="52E02222"/>
    <w:rsid w:val="530A3743"/>
    <w:rsid w:val="530B18DA"/>
    <w:rsid w:val="53146370"/>
    <w:rsid w:val="531555DF"/>
    <w:rsid w:val="5320789E"/>
    <w:rsid w:val="532319B6"/>
    <w:rsid w:val="534517EE"/>
    <w:rsid w:val="53590226"/>
    <w:rsid w:val="53591FD4"/>
    <w:rsid w:val="535E583D"/>
    <w:rsid w:val="536746F1"/>
    <w:rsid w:val="53807561"/>
    <w:rsid w:val="538C23AA"/>
    <w:rsid w:val="53901E9A"/>
    <w:rsid w:val="539C2622"/>
    <w:rsid w:val="53A05E55"/>
    <w:rsid w:val="53A476F3"/>
    <w:rsid w:val="53C11F14"/>
    <w:rsid w:val="53C303BB"/>
    <w:rsid w:val="53C35702"/>
    <w:rsid w:val="53C5766A"/>
    <w:rsid w:val="53CB2ED2"/>
    <w:rsid w:val="53EB70D0"/>
    <w:rsid w:val="53EE096F"/>
    <w:rsid w:val="53F57F4F"/>
    <w:rsid w:val="53FF492A"/>
    <w:rsid w:val="54134879"/>
    <w:rsid w:val="54280325"/>
    <w:rsid w:val="543C32A0"/>
    <w:rsid w:val="54501629"/>
    <w:rsid w:val="54691A69"/>
    <w:rsid w:val="54913043"/>
    <w:rsid w:val="54A036D5"/>
    <w:rsid w:val="54A0435F"/>
    <w:rsid w:val="54A92AE8"/>
    <w:rsid w:val="54BD75DE"/>
    <w:rsid w:val="54CD2C7A"/>
    <w:rsid w:val="54E104D3"/>
    <w:rsid w:val="54FF095A"/>
    <w:rsid w:val="550B72FE"/>
    <w:rsid w:val="551162B8"/>
    <w:rsid w:val="553E1482"/>
    <w:rsid w:val="554D5B69"/>
    <w:rsid w:val="55562C6F"/>
    <w:rsid w:val="558570B1"/>
    <w:rsid w:val="559029A4"/>
    <w:rsid w:val="55932176"/>
    <w:rsid w:val="55A84539"/>
    <w:rsid w:val="55C01586"/>
    <w:rsid w:val="55C0458D"/>
    <w:rsid w:val="55CC2F32"/>
    <w:rsid w:val="56024BA5"/>
    <w:rsid w:val="560E70A6"/>
    <w:rsid w:val="5616081F"/>
    <w:rsid w:val="563A60ED"/>
    <w:rsid w:val="56446F6C"/>
    <w:rsid w:val="565076BF"/>
    <w:rsid w:val="565151E5"/>
    <w:rsid w:val="565704F6"/>
    <w:rsid w:val="565F5B54"/>
    <w:rsid w:val="56876E58"/>
    <w:rsid w:val="56AF07FD"/>
    <w:rsid w:val="56DA342C"/>
    <w:rsid w:val="56E12A0D"/>
    <w:rsid w:val="56EF6ED8"/>
    <w:rsid w:val="56FE536D"/>
    <w:rsid w:val="57081D47"/>
    <w:rsid w:val="570D55B0"/>
    <w:rsid w:val="571050A0"/>
    <w:rsid w:val="571B28E2"/>
    <w:rsid w:val="57266671"/>
    <w:rsid w:val="57471F1B"/>
    <w:rsid w:val="577A1A4C"/>
    <w:rsid w:val="57827D4C"/>
    <w:rsid w:val="579B0E0D"/>
    <w:rsid w:val="579D2DD8"/>
    <w:rsid w:val="57C33EC0"/>
    <w:rsid w:val="57C40364"/>
    <w:rsid w:val="57E275E3"/>
    <w:rsid w:val="57E427B4"/>
    <w:rsid w:val="57EA3B43"/>
    <w:rsid w:val="5809221B"/>
    <w:rsid w:val="580971BE"/>
    <w:rsid w:val="581D5CC6"/>
    <w:rsid w:val="58450B68"/>
    <w:rsid w:val="58523BC2"/>
    <w:rsid w:val="58670CF0"/>
    <w:rsid w:val="586E02D0"/>
    <w:rsid w:val="58782EFD"/>
    <w:rsid w:val="588D619B"/>
    <w:rsid w:val="58A43CF2"/>
    <w:rsid w:val="58BF5B9C"/>
    <w:rsid w:val="58C82435"/>
    <w:rsid w:val="58C919AA"/>
    <w:rsid w:val="58CA156E"/>
    <w:rsid w:val="58D04AE7"/>
    <w:rsid w:val="58D43F79"/>
    <w:rsid w:val="58D8399B"/>
    <w:rsid w:val="58E10F36"/>
    <w:rsid w:val="58F628E8"/>
    <w:rsid w:val="58FA6008"/>
    <w:rsid w:val="58FA7DB6"/>
    <w:rsid w:val="59034EBC"/>
    <w:rsid w:val="593257A1"/>
    <w:rsid w:val="595C45CC"/>
    <w:rsid w:val="5960230F"/>
    <w:rsid w:val="59611BE3"/>
    <w:rsid w:val="596D2F3F"/>
    <w:rsid w:val="597159AF"/>
    <w:rsid w:val="59A87812"/>
    <w:rsid w:val="59BC506B"/>
    <w:rsid w:val="59E720E8"/>
    <w:rsid w:val="59F94BDA"/>
    <w:rsid w:val="59FB2037"/>
    <w:rsid w:val="59FB770E"/>
    <w:rsid w:val="5A054C64"/>
    <w:rsid w:val="5A07278A"/>
    <w:rsid w:val="5A0C1B4F"/>
    <w:rsid w:val="5A3572F7"/>
    <w:rsid w:val="5A551748"/>
    <w:rsid w:val="5A581238"/>
    <w:rsid w:val="5A7871E4"/>
    <w:rsid w:val="5A950AB4"/>
    <w:rsid w:val="5AE8174F"/>
    <w:rsid w:val="5AE8436A"/>
    <w:rsid w:val="5AF85079"/>
    <w:rsid w:val="5AFF11B3"/>
    <w:rsid w:val="5B127639"/>
    <w:rsid w:val="5B2F1F99"/>
    <w:rsid w:val="5B3475AF"/>
    <w:rsid w:val="5B3A6B8F"/>
    <w:rsid w:val="5B4A5024"/>
    <w:rsid w:val="5B6A1223"/>
    <w:rsid w:val="5B6C5663"/>
    <w:rsid w:val="5B7C4AB2"/>
    <w:rsid w:val="5BBA46B0"/>
    <w:rsid w:val="5BC36B85"/>
    <w:rsid w:val="5BCF1086"/>
    <w:rsid w:val="5BDB3ECE"/>
    <w:rsid w:val="5BFA5886"/>
    <w:rsid w:val="5C007491"/>
    <w:rsid w:val="5C02145B"/>
    <w:rsid w:val="5C361105"/>
    <w:rsid w:val="5C531CB7"/>
    <w:rsid w:val="5C666A3C"/>
    <w:rsid w:val="5C6E089F"/>
    <w:rsid w:val="5C761E49"/>
    <w:rsid w:val="5C78171D"/>
    <w:rsid w:val="5C86208C"/>
    <w:rsid w:val="5C967DF5"/>
    <w:rsid w:val="5CAD11D1"/>
    <w:rsid w:val="5CB07109"/>
    <w:rsid w:val="5CB70498"/>
    <w:rsid w:val="5CE24B33"/>
    <w:rsid w:val="5CF47FA3"/>
    <w:rsid w:val="5D1C654D"/>
    <w:rsid w:val="5D2B6790"/>
    <w:rsid w:val="5D2D4B78"/>
    <w:rsid w:val="5D467A6D"/>
    <w:rsid w:val="5D4B6E32"/>
    <w:rsid w:val="5D5C2DED"/>
    <w:rsid w:val="5D810AA5"/>
    <w:rsid w:val="5D962BBC"/>
    <w:rsid w:val="5DB1138B"/>
    <w:rsid w:val="5DD72473"/>
    <w:rsid w:val="5DE60909"/>
    <w:rsid w:val="5DEA664B"/>
    <w:rsid w:val="5E070FAB"/>
    <w:rsid w:val="5E113BD7"/>
    <w:rsid w:val="5E17190F"/>
    <w:rsid w:val="5E736640"/>
    <w:rsid w:val="5EA24E14"/>
    <w:rsid w:val="5EB033F0"/>
    <w:rsid w:val="5ECA3D86"/>
    <w:rsid w:val="5EDA221B"/>
    <w:rsid w:val="5EF332DD"/>
    <w:rsid w:val="5EFC4888"/>
    <w:rsid w:val="5F011E9E"/>
    <w:rsid w:val="5F225C82"/>
    <w:rsid w:val="5F235FF8"/>
    <w:rsid w:val="5F322057"/>
    <w:rsid w:val="5F36141C"/>
    <w:rsid w:val="5F6845F0"/>
    <w:rsid w:val="5FBE1B3D"/>
    <w:rsid w:val="5FBF7663"/>
    <w:rsid w:val="5FCB425A"/>
    <w:rsid w:val="5FF67529"/>
    <w:rsid w:val="5FFA069B"/>
    <w:rsid w:val="60057CBB"/>
    <w:rsid w:val="600F4147"/>
    <w:rsid w:val="60275934"/>
    <w:rsid w:val="602C2F4B"/>
    <w:rsid w:val="603D5158"/>
    <w:rsid w:val="60457B68"/>
    <w:rsid w:val="6057789C"/>
    <w:rsid w:val="607B5C80"/>
    <w:rsid w:val="608D150F"/>
    <w:rsid w:val="60962352"/>
    <w:rsid w:val="60A26D69"/>
    <w:rsid w:val="60A46F85"/>
    <w:rsid w:val="60A96349"/>
    <w:rsid w:val="60D462BC"/>
    <w:rsid w:val="60D809DC"/>
    <w:rsid w:val="612D68E5"/>
    <w:rsid w:val="613C540F"/>
    <w:rsid w:val="613E5C9D"/>
    <w:rsid w:val="61483DB4"/>
    <w:rsid w:val="61572249"/>
    <w:rsid w:val="616C7377"/>
    <w:rsid w:val="617D1584"/>
    <w:rsid w:val="61CB22EF"/>
    <w:rsid w:val="61DD48F5"/>
    <w:rsid w:val="61DF5D9B"/>
    <w:rsid w:val="61F77588"/>
    <w:rsid w:val="61F96E5C"/>
    <w:rsid w:val="622D4D58"/>
    <w:rsid w:val="622E3D73"/>
    <w:rsid w:val="623065F6"/>
    <w:rsid w:val="6232236E"/>
    <w:rsid w:val="627B4304"/>
    <w:rsid w:val="627B5AC3"/>
    <w:rsid w:val="62946DCA"/>
    <w:rsid w:val="62A82630"/>
    <w:rsid w:val="62AE40EB"/>
    <w:rsid w:val="62B47227"/>
    <w:rsid w:val="62B92A90"/>
    <w:rsid w:val="62BB4B46"/>
    <w:rsid w:val="62F15D85"/>
    <w:rsid w:val="62F90B52"/>
    <w:rsid w:val="630006BE"/>
    <w:rsid w:val="630E2DDB"/>
    <w:rsid w:val="631F6D97"/>
    <w:rsid w:val="632779F9"/>
    <w:rsid w:val="63485E7F"/>
    <w:rsid w:val="63660F93"/>
    <w:rsid w:val="637013A0"/>
    <w:rsid w:val="63732C3E"/>
    <w:rsid w:val="637A221F"/>
    <w:rsid w:val="63BD210C"/>
    <w:rsid w:val="63D57455"/>
    <w:rsid w:val="63E61662"/>
    <w:rsid w:val="63E82B70"/>
    <w:rsid w:val="63F4603A"/>
    <w:rsid w:val="63FD075A"/>
    <w:rsid w:val="64177A6E"/>
    <w:rsid w:val="64281C7B"/>
    <w:rsid w:val="645C1924"/>
    <w:rsid w:val="64713622"/>
    <w:rsid w:val="6486074F"/>
    <w:rsid w:val="64A07A63"/>
    <w:rsid w:val="64A2233D"/>
    <w:rsid w:val="64A37553"/>
    <w:rsid w:val="64A55079"/>
    <w:rsid w:val="64A70E8F"/>
    <w:rsid w:val="64B82FFF"/>
    <w:rsid w:val="64CA0F84"/>
    <w:rsid w:val="64D836A1"/>
    <w:rsid w:val="64D911C7"/>
    <w:rsid w:val="64DF4A2F"/>
    <w:rsid w:val="64E536C8"/>
    <w:rsid w:val="652D0651"/>
    <w:rsid w:val="652E1513"/>
    <w:rsid w:val="6588065D"/>
    <w:rsid w:val="659163EA"/>
    <w:rsid w:val="65B35574"/>
    <w:rsid w:val="65B37C6A"/>
    <w:rsid w:val="65BD4645"/>
    <w:rsid w:val="65C46CD4"/>
    <w:rsid w:val="65D976D1"/>
    <w:rsid w:val="65DD6A95"/>
    <w:rsid w:val="65E25E59"/>
    <w:rsid w:val="65E6594A"/>
    <w:rsid w:val="65F31E15"/>
    <w:rsid w:val="66044022"/>
    <w:rsid w:val="662326FA"/>
    <w:rsid w:val="663552BB"/>
    <w:rsid w:val="666D606B"/>
    <w:rsid w:val="666D6853"/>
    <w:rsid w:val="66742F55"/>
    <w:rsid w:val="66A82BFF"/>
    <w:rsid w:val="66A9039E"/>
    <w:rsid w:val="66AB0941"/>
    <w:rsid w:val="66BF00F7"/>
    <w:rsid w:val="66C32DAD"/>
    <w:rsid w:val="66CC3005"/>
    <w:rsid w:val="66D87988"/>
    <w:rsid w:val="66F422E8"/>
    <w:rsid w:val="670E5BF9"/>
    <w:rsid w:val="6727446C"/>
    <w:rsid w:val="6727621A"/>
    <w:rsid w:val="674E19F8"/>
    <w:rsid w:val="67760F4F"/>
    <w:rsid w:val="67801DCE"/>
    <w:rsid w:val="67896ED4"/>
    <w:rsid w:val="67BA0E3C"/>
    <w:rsid w:val="67DB7004"/>
    <w:rsid w:val="67E10ABE"/>
    <w:rsid w:val="681D761D"/>
    <w:rsid w:val="681E1E1B"/>
    <w:rsid w:val="684B418A"/>
    <w:rsid w:val="68626DA9"/>
    <w:rsid w:val="688B219F"/>
    <w:rsid w:val="6894168D"/>
    <w:rsid w:val="68FE5C6A"/>
    <w:rsid w:val="69076303"/>
    <w:rsid w:val="690F3409"/>
    <w:rsid w:val="690F51B7"/>
    <w:rsid w:val="69114EF8"/>
    <w:rsid w:val="6934718B"/>
    <w:rsid w:val="69594684"/>
    <w:rsid w:val="695A0B28"/>
    <w:rsid w:val="695D5F23"/>
    <w:rsid w:val="695F214E"/>
    <w:rsid w:val="69623539"/>
    <w:rsid w:val="696D56D5"/>
    <w:rsid w:val="6971484A"/>
    <w:rsid w:val="697274F4"/>
    <w:rsid w:val="69845BA5"/>
    <w:rsid w:val="6994515E"/>
    <w:rsid w:val="69AB75AC"/>
    <w:rsid w:val="69C02956"/>
    <w:rsid w:val="69D106BF"/>
    <w:rsid w:val="69D361E5"/>
    <w:rsid w:val="69F726E9"/>
    <w:rsid w:val="6A097E59"/>
    <w:rsid w:val="6A205BD3"/>
    <w:rsid w:val="6A502E5C"/>
    <w:rsid w:val="6A7F44C8"/>
    <w:rsid w:val="6A8E65B0"/>
    <w:rsid w:val="6A916014"/>
    <w:rsid w:val="6A9242F2"/>
    <w:rsid w:val="6AB06526"/>
    <w:rsid w:val="6AC01289"/>
    <w:rsid w:val="6AC124E1"/>
    <w:rsid w:val="6ADC556D"/>
    <w:rsid w:val="6AF208ED"/>
    <w:rsid w:val="6AFE3735"/>
    <w:rsid w:val="6B005B27"/>
    <w:rsid w:val="6B0413A1"/>
    <w:rsid w:val="6B051E8B"/>
    <w:rsid w:val="6B0C5E52"/>
    <w:rsid w:val="6B0D1BCA"/>
    <w:rsid w:val="6B2C02A3"/>
    <w:rsid w:val="6B301415"/>
    <w:rsid w:val="6B347157"/>
    <w:rsid w:val="6B3810D4"/>
    <w:rsid w:val="6B581098"/>
    <w:rsid w:val="6B6C069F"/>
    <w:rsid w:val="6B6D4417"/>
    <w:rsid w:val="6B6F63E1"/>
    <w:rsid w:val="6B7B2FD8"/>
    <w:rsid w:val="6B9320D0"/>
    <w:rsid w:val="6BA75B7B"/>
    <w:rsid w:val="6BBF5BB4"/>
    <w:rsid w:val="6BCF16A3"/>
    <w:rsid w:val="6BD526E8"/>
    <w:rsid w:val="6BD66460"/>
    <w:rsid w:val="6BDA5F51"/>
    <w:rsid w:val="6BF54B38"/>
    <w:rsid w:val="6C0703C8"/>
    <w:rsid w:val="6C2C7E2E"/>
    <w:rsid w:val="6C3F5DB4"/>
    <w:rsid w:val="6C575974"/>
    <w:rsid w:val="6C6E48EB"/>
    <w:rsid w:val="6C895281"/>
    <w:rsid w:val="6C924135"/>
    <w:rsid w:val="6C97174C"/>
    <w:rsid w:val="6CA64085"/>
    <w:rsid w:val="6CB30550"/>
    <w:rsid w:val="6CBF5146"/>
    <w:rsid w:val="6CCE7137"/>
    <w:rsid w:val="6CD7423E"/>
    <w:rsid w:val="6CDE10A7"/>
    <w:rsid w:val="6CE30E35"/>
    <w:rsid w:val="6CE40709"/>
    <w:rsid w:val="6CE55E74"/>
    <w:rsid w:val="6CF43042"/>
    <w:rsid w:val="6CF748E0"/>
    <w:rsid w:val="6D125276"/>
    <w:rsid w:val="6D4573FA"/>
    <w:rsid w:val="6D5A433A"/>
    <w:rsid w:val="6D657A9C"/>
    <w:rsid w:val="6D800432"/>
    <w:rsid w:val="6DCC3677"/>
    <w:rsid w:val="6E184B0E"/>
    <w:rsid w:val="6E315BD0"/>
    <w:rsid w:val="6E4E0530"/>
    <w:rsid w:val="6E573888"/>
    <w:rsid w:val="6E575151"/>
    <w:rsid w:val="6E62222D"/>
    <w:rsid w:val="6E682806"/>
    <w:rsid w:val="6E8403F6"/>
    <w:rsid w:val="6E8B1784"/>
    <w:rsid w:val="6EB42BD3"/>
    <w:rsid w:val="6EB5235D"/>
    <w:rsid w:val="6EB760D5"/>
    <w:rsid w:val="6EC00F8F"/>
    <w:rsid w:val="6ECC302C"/>
    <w:rsid w:val="6EF410D7"/>
    <w:rsid w:val="6EF966EE"/>
    <w:rsid w:val="6EFE0E88"/>
    <w:rsid w:val="6F20011E"/>
    <w:rsid w:val="6F213E96"/>
    <w:rsid w:val="6F327E52"/>
    <w:rsid w:val="6F5222A2"/>
    <w:rsid w:val="6F543924"/>
    <w:rsid w:val="6F601648"/>
    <w:rsid w:val="6F906926"/>
    <w:rsid w:val="6F9C52CB"/>
    <w:rsid w:val="6FAF786B"/>
    <w:rsid w:val="6FCA62DC"/>
    <w:rsid w:val="6FCE7B7A"/>
    <w:rsid w:val="6FDD600F"/>
    <w:rsid w:val="700D7F77"/>
    <w:rsid w:val="700F3CEF"/>
    <w:rsid w:val="701025DA"/>
    <w:rsid w:val="70147557"/>
    <w:rsid w:val="70194B6E"/>
    <w:rsid w:val="701B6B38"/>
    <w:rsid w:val="701F03D6"/>
    <w:rsid w:val="70381498"/>
    <w:rsid w:val="70503AB2"/>
    <w:rsid w:val="705067E1"/>
    <w:rsid w:val="705931BC"/>
    <w:rsid w:val="70634139"/>
    <w:rsid w:val="70856481"/>
    <w:rsid w:val="70A46B2D"/>
    <w:rsid w:val="70C920F0"/>
    <w:rsid w:val="70CB5E68"/>
    <w:rsid w:val="70EA5B0A"/>
    <w:rsid w:val="70EB475C"/>
    <w:rsid w:val="70F96E79"/>
    <w:rsid w:val="70FC67DE"/>
    <w:rsid w:val="71353C29"/>
    <w:rsid w:val="71434477"/>
    <w:rsid w:val="714906DE"/>
    <w:rsid w:val="714D2D21"/>
    <w:rsid w:val="714E78E0"/>
    <w:rsid w:val="71836742"/>
    <w:rsid w:val="71983F3B"/>
    <w:rsid w:val="71C61095"/>
    <w:rsid w:val="71CF7BDA"/>
    <w:rsid w:val="720F72CF"/>
    <w:rsid w:val="72211FE4"/>
    <w:rsid w:val="722F148A"/>
    <w:rsid w:val="72572C4C"/>
    <w:rsid w:val="726A5AEB"/>
    <w:rsid w:val="726C685A"/>
    <w:rsid w:val="72A1635F"/>
    <w:rsid w:val="72DF3E4C"/>
    <w:rsid w:val="72E43211"/>
    <w:rsid w:val="72EE22E1"/>
    <w:rsid w:val="73025D8D"/>
    <w:rsid w:val="7307318C"/>
    <w:rsid w:val="73093217"/>
    <w:rsid w:val="731C29AB"/>
    <w:rsid w:val="73263829"/>
    <w:rsid w:val="7329331A"/>
    <w:rsid w:val="732E4011"/>
    <w:rsid w:val="7339611F"/>
    <w:rsid w:val="734F0FD2"/>
    <w:rsid w:val="73522870"/>
    <w:rsid w:val="7367736B"/>
    <w:rsid w:val="73777B6B"/>
    <w:rsid w:val="739A1DE9"/>
    <w:rsid w:val="73AA1159"/>
    <w:rsid w:val="73B057E9"/>
    <w:rsid w:val="73B1517B"/>
    <w:rsid w:val="73E73938"/>
    <w:rsid w:val="73F97190"/>
    <w:rsid w:val="73FE6554"/>
    <w:rsid w:val="74161AF0"/>
    <w:rsid w:val="747C1C85"/>
    <w:rsid w:val="7499002B"/>
    <w:rsid w:val="74B03CF2"/>
    <w:rsid w:val="74B35591"/>
    <w:rsid w:val="74DF6386"/>
    <w:rsid w:val="74EC0AA3"/>
    <w:rsid w:val="74F87553"/>
    <w:rsid w:val="750202C6"/>
    <w:rsid w:val="75120509"/>
    <w:rsid w:val="7513602F"/>
    <w:rsid w:val="75630AF4"/>
    <w:rsid w:val="756845CD"/>
    <w:rsid w:val="756B7C19"/>
    <w:rsid w:val="757C1E26"/>
    <w:rsid w:val="75A90742"/>
    <w:rsid w:val="75A924F0"/>
    <w:rsid w:val="75AF5D58"/>
    <w:rsid w:val="75C94940"/>
    <w:rsid w:val="75D43A11"/>
    <w:rsid w:val="760A2BBC"/>
    <w:rsid w:val="76164029"/>
    <w:rsid w:val="76182881"/>
    <w:rsid w:val="762C55FB"/>
    <w:rsid w:val="76320737"/>
    <w:rsid w:val="76361FD5"/>
    <w:rsid w:val="764F12E9"/>
    <w:rsid w:val="76636427"/>
    <w:rsid w:val="76746FA2"/>
    <w:rsid w:val="76876CD5"/>
    <w:rsid w:val="768F7938"/>
    <w:rsid w:val="76AA39C5"/>
    <w:rsid w:val="76B178AE"/>
    <w:rsid w:val="76BD44A5"/>
    <w:rsid w:val="76C21ABB"/>
    <w:rsid w:val="76E16AC1"/>
    <w:rsid w:val="77075720"/>
    <w:rsid w:val="773526DE"/>
    <w:rsid w:val="774150D6"/>
    <w:rsid w:val="77446037"/>
    <w:rsid w:val="77512E3F"/>
    <w:rsid w:val="77644920"/>
    <w:rsid w:val="778107CA"/>
    <w:rsid w:val="77826259"/>
    <w:rsid w:val="77A2369A"/>
    <w:rsid w:val="77A61681"/>
    <w:rsid w:val="77A967D7"/>
    <w:rsid w:val="77E37F3B"/>
    <w:rsid w:val="77E75706"/>
    <w:rsid w:val="78016613"/>
    <w:rsid w:val="781E7E54"/>
    <w:rsid w:val="782A5B6A"/>
    <w:rsid w:val="7831514A"/>
    <w:rsid w:val="783B1B25"/>
    <w:rsid w:val="783E33C3"/>
    <w:rsid w:val="78436C20"/>
    <w:rsid w:val="784D3606"/>
    <w:rsid w:val="785B21C7"/>
    <w:rsid w:val="786F5C73"/>
    <w:rsid w:val="7879089F"/>
    <w:rsid w:val="78A376CA"/>
    <w:rsid w:val="78AF2513"/>
    <w:rsid w:val="78C80EDF"/>
    <w:rsid w:val="78F16688"/>
    <w:rsid w:val="79231130"/>
    <w:rsid w:val="794A5D98"/>
    <w:rsid w:val="794B3FEA"/>
    <w:rsid w:val="798715FB"/>
    <w:rsid w:val="799B6514"/>
    <w:rsid w:val="79A6790A"/>
    <w:rsid w:val="79C57453"/>
    <w:rsid w:val="79C773E8"/>
    <w:rsid w:val="7A252A8D"/>
    <w:rsid w:val="7A326F58"/>
    <w:rsid w:val="7A3727C0"/>
    <w:rsid w:val="7A37631C"/>
    <w:rsid w:val="7A4C67D8"/>
    <w:rsid w:val="7A5073DE"/>
    <w:rsid w:val="7A5A025C"/>
    <w:rsid w:val="7A715CD2"/>
    <w:rsid w:val="7A7E738E"/>
    <w:rsid w:val="7A877B5A"/>
    <w:rsid w:val="7A9C0875"/>
    <w:rsid w:val="7AAC7F07"/>
    <w:rsid w:val="7AAF67FA"/>
    <w:rsid w:val="7AB83901"/>
    <w:rsid w:val="7AE065D8"/>
    <w:rsid w:val="7AE2097E"/>
    <w:rsid w:val="7AE87FB7"/>
    <w:rsid w:val="7B02692A"/>
    <w:rsid w:val="7B203254"/>
    <w:rsid w:val="7B226FCC"/>
    <w:rsid w:val="7B2965AD"/>
    <w:rsid w:val="7B4A207F"/>
    <w:rsid w:val="7B560A24"/>
    <w:rsid w:val="7B5B24DE"/>
    <w:rsid w:val="7B7917EF"/>
    <w:rsid w:val="7B8B4B71"/>
    <w:rsid w:val="7B9D48A5"/>
    <w:rsid w:val="7BA7652D"/>
    <w:rsid w:val="7BB9440A"/>
    <w:rsid w:val="7BF00E78"/>
    <w:rsid w:val="7C042B76"/>
    <w:rsid w:val="7C122B9D"/>
    <w:rsid w:val="7C3E7E36"/>
    <w:rsid w:val="7C43369E"/>
    <w:rsid w:val="7C705B15"/>
    <w:rsid w:val="7C773348"/>
    <w:rsid w:val="7CC006A1"/>
    <w:rsid w:val="7CD90635"/>
    <w:rsid w:val="7CFB1883"/>
    <w:rsid w:val="7CFC77F7"/>
    <w:rsid w:val="7D0C7F34"/>
    <w:rsid w:val="7D126BCC"/>
    <w:rsid w:val="7D1B1F25"/>
    <w:rsid w:val="7D1E1A15"/>
    <w:rsid w:val="7D3704A9"/>
    <w:rsid w:val="7D605B8A"/>
    <w:rsid w:val="7D6531A0"/>
    <w:rsid w:val="7D6879B5"/>
    <w:rsid w:val="7D6C09D3"/>
    <w:rsid w:val="7D7A4E9D"/>
    <w:rsid w:val="7D8A0E59"/>
    <w:rsid w:val="7D93677B"/>
    <w:rsid w:val="7D9677FD"/>
    <w:rsid w:val="7DDC7906"/>
    <w:rsid w:val="7DE60785"/>
    <w:rsid w:val="7DF96F41"/>
    <w:rsid w:val="7DFC1D56"/>
    <w:rsid w:val="7E0E3838"/>
    <w:rsid w:val="7E1348D3"/>
    <w:rsid w:val="7E3C03A5"/>
    <w:rsid w:val="7E617E0B"/>
    <w:rsid w:val="7E7538B7"/>
    <w:rsid w:val="7E9A331D"/>
    <w:rsid w:val="7E9E696A"/>
    <w:rsid w:val="7EA8133B"/>
    <w:rsid w:val="7EBB39C0"/>
    <w:rsid w:val="7EC65E37"/>
    <w:rsid w:val="7EC860DC"/>
    <w:rsid w:val="7EC86835"/>
    <w:rsid w:val="7EDC1B88"/>
    <w:rsid w:val="7EED169F"/>
    <w:rsid w:val="7EF40C80"/>
    <w:rsid w:val="7EF46ED2"/>
    <w:rsid w:val="7F0B7D77"/>
    <w:rsid w:val="7F1135E0"/>
    <w:rsid w:val="7F1D01D6"/>
    <w:rsid w:val="7F3E639F"/>
    <w:rsid w:val="7F7B2D34"/>
    <w:rsid w:val="7F9164CE"/>
    <w:rsid w:val="7F923FF5"/>
    <w:rsid w:val="7FAE52D2"/>
    <w:rsid w:val="7FBF19CE"/>
    <w:rsid w:val="7FDD158C"/>
    <w:rsid w:val="7FDE468E"/>
    <w:rsid w:val="7FEA5BDF"/>
    <w:rsid w:val="7FFB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6"/>
    <w:qFormat/>
    <w:uiPriority w:val="9"/>
    <w:pPr>
      <w:keepNext/>
      <w:keepLines/>
      <w:outlineLvl w:val="0"/>
    </w:pPr>
    <w:rPr>
      <w:rFonts w:eastAsia="黑体" w:asciiTheme="majorHAnsi" w:hAnsiTheme="majorHAnsi" w:cstheme="majorBidi"/>
      <w:color w:val="000000" w:themeColor="text1"/>
      <w:sz w:val="32"/>
      <w:szCs w:val="48"/>
      <w14:textFill>
        <w14:solidFill>
          <w14:schemeClr w14:val="tx1"/>
        </w14:solidFill>
      </w14:textFill>
    </w:rPr>
  </w:style>
  <w:style w:type="paragraph" w:styleId="3">
    <w:name w:val="heading 2"/>
    <w:basedOn w:val="1"/>
    <w:next w:val="1"/>
    <w:link w:val="27"/>
    <w:unhideWhenUsed/>
    <w:qFormat/>
    <w:uiPriority w:val="9"/>
    <w:pPr>
      <w:keepNext/>
      <w:keepLines/>
      <w:outlineLvl w:val="1"/>
    </w:pPr>
    <w:rPr>
      <w:rFonts w:eastAsia="微软雅黑" w:asciiTheme="majorHAnsi" w:hAnsiTheme="majorHAnsi" w:cstheme="majorBidi"/>
      <w:b/>
      <w:color w:val="000000" w:themeColor="text1"/>
      <w:sz w:val="32"/>
      <w:szCs w:val="40"/>
      <w14:textFill>
        <w14:solidFill>
          <w14:schemeClr w14:val="tx1"/>
        </w14:solidFill>
      </w14:textFill>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tabs>
        <w:tab w:val="right" w:leader="dot" w:pos="8296"/>
      </w:tabs>
      <w:spacing w:after="160" w:line="540" w:lineRule="exact"/>
    </w:pPr>
    <w:rPr>
      <w:rFonts w:ascii="黑体" w:hAnsi="黑体" w:eastAsia="黑体" w:cs="Times New Roman"/>
      <w:sz w:val="32"/>
      <w:szCs w:val="32"/>
    </w:rPr>
  </w:style>
  <w:style w:type="paragraph" w:styleId="15">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autoRedefine/>
    <w:unhideWhenUsed/>
    <w:qFormat/>
    <w:uiPriority w:val="39"/>
    <w:pPr>
      <w:ind w:left="420" w:leftChars="200"/>
    </w:pPr>
  </w:style>
  <w:style w:type="paragraph" w:styleId="17">
    <w:name w:val="Normal (Web)"/>
    <w:basedOn w:val="1"/>
    <w:semiHidden/>
    <w:unhideWhenUsed/>
    <w:qFormat/>
    <w:uiPriority w:val="99"/>
    <w:rPr>
      <w:rFonts w:ascii="Times New Roman" w:hAnsi="Times New Roman" w:cs="Times New Roman"/>
      <w:sz w:val="24"/>
      <w:szCs w:val="24"/>
    </w:rPr>
  </w:style>
  <w:style w:type="paragraph" w:styleId="18">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1"/>
    <w:next w:val="11"/>
    <w:link w:val="47"/>
    <w:semiHidden/>
    <w:unhideWhenUsed/>
    <w:qFormat/>
    <w:uiPriority w:val="99"/>
    <w:rPr>
      <w:b/>
      <w:bCs/>
    </w:rPr>
  </w:style>
  <w:style w:type="character" w:styleId="22">
    <w:name w:val="Strong"/>
    <w:qFormat/>
    <w:uiPriority w:val="0"/>
    <w:rPr>
      <w:rFonts w:cs="Times New Roman"/>
      <w:b/>
      <w:bCs/>
    </w:rPr>
  </w:style>
  <w:style w:type="character" w:styleId="23">
    <w:name w:val="line number"/>
    <w:basedOn w:val="21"/>
    <w:semiHidden/>
    <w:unhideWhenUsed/>
    <w:qFormat/>
    <w:uiPriority w:val="99"/>
  </w:style>
  <w:style w:type="character" w:styleId="24">
    <w:name w:val="Hyperlink"/>
    <w:basedOn w:val="21"/>
    <w:unhideWhenUsed/>
    <w:qFormat/>
    <w:uiPriority w:val="99"/>
    <w:rPr>
      <w:color w:val="467886"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character" w:customStyle="1" w:styleId="26">
    <w:name w:val="标题 1 字符"/>
    <w:basedOn w:val="21"/>
    <w:link w:val="2"/>
    <w:qFormat/>
    <w:uiPriority w:val="9"/>
    <w:rPr>
      <w:rFonts w:eastAsia="黑体" w:asciiTheme="majorHAnsi" w:hAnsiTheme="majorHAnsi" w:cstheme="majorBidi"/>
      <w:color w:val="000000" w:themeColor="text1"/>
      <w:sz w:val="32"/>
      <w:szCs w:val="48"/>
      <w14:textFill>
        <w14:solidFill>
          <w14:schemeClr w14:val="tx1"/>
        </w14:solidFill>
      </w14:textFill>
    </w:rPr>
  </w:style>
  <w:style w:type="character" w:customStyle="1" w:styleId="27">
    <w:name w:val="标题 2 字符"/>
    <w:basedOn w:val="21"/>
    <w:link w:val="3"/>
    <w:qFormat/>
    <w:uiPriority w:val="9"/>
    <w:rPr>
      <w:rFonts w:eastAsia="微软雅黑" w:asciiTheme="majorHAnsi" w:hAnsiTheme="majorHAnsi" w:cstheme="majorBidi"/>
      <w:b/>
      <w:color w:val="000000" w:themeColor="text1"/>
      <w:sz w:val="32"/>
      <w:szCs w:val="40"/>
      <w14:textFill>
        <w14:solidFill>
          <w14:schemeClr w14:val="tx1"/>
        </w14:solidFill>
      </w14:textFill>
    </w:rPr>
  </w:style>
  <w:style w:type="character" w:customStyle="1" w:styleId="28">
    <w:name w:val="标题 3 字符"/>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1"/>
    <w:link w:val="5"/>
    <w:semiHidden/>
    <w:qFormat/>
    <w:uiPriority w:val="9"/>
    <w:rPr>
      <w:rFonts w:cstheme="majorBidi"/>
      <w:color w:val="104862" w:themeColor="accent1" w:themeShade="BF"/>
      <w:sz w:val="28"/>
      <w:szCs w:val="28"/>
    </w:rPr>
  </w:style>
  <w:style w:type="character" w:customStyle="1" w:styleId="30">
    <w:name w:val="标题 5 字符"/>
    <w:basedOn w:val="21"/>
    <w:link w:val="6"/>
    <w:semiHidden/>
    <w:qFormat/>
    <w:uiPriority w:val="9"/>
    <w:rPr>
      <w:rFonts w:cstheme="majorBidi"/>
      <w:color w:val="104862" w:themeColor="accent1" w:themeShade="BF"/>
      <w:sz w:val="24"/>
      <w:szCs w:val="24"/>
    </w:rPr>
  </w:style>
  <w:style w:type="character" w:customStyle="1" w:styleId="31">
    <w:name w:val="标题 6 字符"/>
    <w:basedOn w:val="21"/>
    <w:link w:val="7"/>
    <w:semiHidden/>
    <w:qFormat/>
    <w:uiPriority w:val="9"/>
    <w:rPr>
      <w:rFonts w:cstheme="majorBidi"/>
      <w:b/>
      <w:bCs/>
      <w:color w:val="104862" w:themeColor="accent1" w:themeShade="BF"/>
    </w:rPr>
  </w:style>
  <w:style w:type="character" w:customStyle="1" w:styleId="32">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1"/>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1"/>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1"/>
    <w:link w:val="41"/>
    <w:qFormat/>
    <w:uiPriority w:val="30"/>
    <w:rPr>
      <w:i/>
      <w:iCs/>
      <w:color w:val="104862" w:themeColor="accent1" w:themeShade="BF"/>
    </w:rPr>
  </w:style>
  <w:style w:type="character" w:customStyle="1" w:styleId="43">
    <w:name w:val="明显参考1"/>
    <w:basedOn w:val="21"/>
    <w:qFormat/>
    <w:uiPriority w:val="32"/>
    <w:rPr>
      <w:b/>
      <w:bCs/>
      <w:smallCaps/>
      <w:color w:val="104862" w:themeColor="accent1" w:themeShade="BF"/>
      <w:spacing w:val="5"/>
    </w:rPr>
  </w:style>
  <w:style w:type="character" w:customStyle="1" w:styleId="44">
    <w:name w:val="页眉 字符"/>
    <w:basedOn w:val="21"/>
    <w:link w:val="13"/>
    <w:qFormat/>
    <w:uiPriority w:val="99"/>
    <w:rPr>
      <w:sz w:val="18"/>
      <w:szCs w:val="18"/>
    </w:rPr>
  </w:style>
  <w:style w:type="character" w:customStyle="1" w:styleId="45">
    <w:name w:val="页脚 字符"/>
    <w:basedOn w:val="21"/>
    <w:link w:val="12"/>
    <w:qFormat/>
    <w:uiPriority w:val="99"/>
    <w:rPr>
      <w:sz w:val="18"/>
      <w:szCs w:val="18"/>
    </w:rPr>
  </w:style>
  <w:style w:type="character" w:customStyle="1" w:styleId="46">
    <w:name w:val="批注文字 字符"/>
    <w:basedOn w:val="21"/>
    <w:link w:val="11"/>
    <w:semiHidden/>
    <w:qFormat/>
    <w:uiPriority w:val="99"/>
  </w:style>
  <w:style w:type="character" w:customStyle="1" w:styleId="47">
    <w:name w:val="批注主题 字符"/>
    <w:basedOn w:val="46"/>
    <w:link w:val="19"/>
    <w:semiHidden/>
    <w:qFormat/>
    <w:uiPriority w:val="99"/>
    <w:rPr>
      <w:b/>
      <w:bCs/>
    </w:rPr>
  </w:style>
  <w:style w:type="paragraph" w:customStyle="1" w:styleId="48">
    <w:name w:val="TOC 标题1"/>
    <w:basedOn w:val="2"/>
    <w:next w:val="1"/>
    <w:unhideWhenUsed/>
    <w:qFormat/>
    <w:uiPriority w:val="39"/>
    <w:pPr>
      <w:widowControl/>
      <w:spacing w:before="240" w:line="259" w:lineRule="auto"/>
      <w:jc w:val="left"/>
      <w:outlineLvl w:val="9"/>
    </w:pPr>
    <w:rPr>
      <w:rFonts w:eastAsiaTheme="majorEastAsia"/>
      <w:color w:val="104862" w:themeColor="accent1" w:themeShade="BF"/>
      <w:kern w:val="0"/>
      <w:szCs w:val="32"/>
      <w14:ligatures w14:val="none"/>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50">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51">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624C5E-687B-430C-B8DF-5360E21451F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9636</Words>
  <Characters>9883</Characters>
  <Lines>79</Lines>
  <Paragraphs>22</Paragraphs>
  <TotalTime>25</TotalTime>
  <ScaleCrop>false</ScaleCrop>
  <LinksUpToDate>false</LinksUpToDate>
  <CharactersWithSpaces>9947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2026-03-10T13:45:00Z</dcterms:created>
  <dc:creator>靖雯 王</dc:creator>
  <cp:lastModifiedBy>刘发发</cp:lastModifiedBy>
  <cp:lastPrinted>2026-04-21T06:17:00Z</cp:lastPrinted>
  <dcterms:modified xsi:type="dcterms:W3CDTF">2026-04-27T07:21:33Z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eyJoZGlkIjoiZGNkMDQyYTEzNzBiYWFmNzE0YmQzMzJmYWI0MTZmODgiLCJ1c2VySWQiOiI0NTczMTgxNjMifQ==</vt:lpwstr>
  </property>
  <property fmtid="{D5CDD505-2E9C-101B-9397-08002B2CF9AE}" pid="3" name="KSOProductBuildVer">
    <vt:lpwstr>2052-12.1.0.25865</vt:lpwstr>
  </property>
  <property fmtid="{D5CDD505-2E9C-101B-9397-08002B2CF9AE}" pid="4" name="ICV">
    <vt:lpwstr>874CE256BB034063998A1CE6E8EE0F90_13</vt:lpwstr>
  </property>
</Properties>
</file>